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6B74F" w14:textId="77777777" w:rsidR="007009E8" w:rsidRPr="006249E4" w:rsidRDefault="00CD1C36">
      <w:pPr>
        <w:pStyle w:val="BodyText"/>
        <w:ind w:left="2590"/>
      </w:pPr>
      <w:r w:rsidRPr="006249E4">
        <w:rPr>
          <w:noProof/>
        </w:rPr>
        <w:drawing>
          <wp:inline distT="0" distB="0" distL="0" distR="0" wp14:anchorId="3D376288" wp14:editId="10CBDCB4">
            <wp:extent cx="2340931" cy="4511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40931" cy="451103"/>
                    </a:xfrm>
                    <a:prstGeom prst="rect">
                      <a:avLst/>
                    </a:prstGeom>
                  </pic:spPr>
                </pic:pic>
              </a:graphicData>
            </a:graphic>
          </wp:inline>
        </w:drawing>
      </w:r>
    </w:p>
    <w:p w14:paraId="62706044" w14:textId="77777777" w:rsidR="00A53CE3" w:rsidRPr="006249E4" w:rsidRDefault="00A53CE3">
      <w:pPr>
        <w:pStyle w:val="BodyText"/>
        <w:spacing w:before="9"/>
      </w:pPr>
    </w:p>
    <w:p w14:paraId="01E20DBD" w14:textId="652D943B" w:rsidR="00A53CE3" w:rsidRPr="009F5E23" w:rsidRDefault="00A53CE3" w:rsidP="006249E4">
      <w:pPr>
        <w:pStyle w:val="Heading1"/>
      </w:pPr>
      <w:r w:rsidRPr="006249E4">
        <w:t>Guide to making an application</w:t>
      </w:r>
    </w:p>
    <w:p w14:paraId="211DC195" w14:textId="662FB29D" w:rsidR="007009E8" w:rsidRPr="006249E4" w:rsidRDefault="00A53CE3" w:rsidP="006249E4">
      <w:pPr>
        <w:pStyle w:val="Heading1"/>
      </w:pPr>
      <w:r w:rsidRPr="009F5E23">
        <w:t>as</w:t>
      </w:r>
      <w:r w:rsidRPr="006249E4">
        <w:t xml:space="preserve"> a disability service provider or resident</w:t>
      </w:r>
    </w:p>
    <w:p w14:paraId="450BA5B9" w14:textId="77777777" w:rsidR="007009E8" w:rsidRPr="009F5E23" w:rsidRDefault="007009E8" w:rsidP="006249E4">
      <w:pPr>
        <w:pStyle w:val="BodyText"/>
        <w:spacing w:before="7"/>
        <w:rPr>
          <w:b/>
          <w:sz w:val="8"/>
        </w:rPr>
      </w:pPr>
    </w:p>
    <w:p w14:paraId="6AE191FB" w14:textId="77777777" w:rsidR="007009E8" w:rsidRPr="009F5E23" w:rsidRDefault="00CD1C36" w:rsidP="006249E4">
      <w:pPr>
        <w:pStyle w:val="Heading2"/>
      </w:pPr>
      <w:r w:rsidRPr="009F5E23">
        <w:t>Who should use this form?</w:t>
      </w:r>
    </w:p>
    <w:p w14:paraId="5A4B0CE0" w14:textId="5834AAA7" w:rsidR="007C6652" w:rsidRPr="006249E4" w:rsidRDefault="007C6652" w:rsidP="006249E4">
      <w:r w:rsidRPr="006249E4">
        <w:t xml:space="preserve">Use this form if you have a dispute about a specialist disability accommodation (SDA) dwelling you live in or manage. </w:t>
      </w:r>
    </w:p>
    <w:p w14:paraId="1B9C363E" w14:textId="0E0AFCE0" w:rsidR="00A53CE3" w:rsidRPr="009F5E23" w:rsidRDefault="00A53CE3" w:rsidP="006249E4">
      <w:pPr>
        <w:pStyle w:val="Heading2"/>
      </w:pPr>
      <w:r w:rsidRPr="009F5E23">
        <w:t>Apply</w:t>
      </w:r>
      <w:r w:rsidR="00C215C6">
        <w:t>ing</w:t>
      </w:r>
      <w:r w:rsidRPr="009F5E23">
        <w:t xml:space="preserve"> about an SDA dwelling</w:t>
      </w:r>
    </w:p>
    <w:p w14:paraId="4FD0DBBA" w14:textId="36F2387D" w:rsidR="00A53CE3" w:rsidRDefault="00A53CE3" w:rsidP="00A53CE3">
      <w:pPr>
        <w:tabs>
          <w:tab w:val="left" w:pos="995"/>
          <w:tab w:val="left" w:pos="996"/>
        </w:tabs>
        <w:spacing w:before="94" w:after="240"/>
        <w:ind w:right="411"/>
      </w:pPr>
      <w:r w:rsidRPr="00163BDE">
        <w:t>An SDA dwelling is a property or building registered with the National Disability Insurance Agency to provide specialist housing solutions. Accommodation is provided for people with very high support needs, such as people who have extreme functional impairment.</w:t>
      </w:r>
    </w:p>
    <w:p w14:paraId="15AB54DC" w14:textId="73B49FB2" w:rsidR="00A53CE3" w:rsidRDefault="001C1131" w:rsidP="00A53CE3">
      <w:pPr>
        <w:tabs>
          <w:tab w:val="left" w:pos="995"/>
          <w:tab w:val="left" w:pos="996"/>
        </w:tabs>
        <w:spacing w:before="94" w:after="240"/>
        <w:ind w:right="411"/>
      </w:pPr>
      <w:r w:rsidRPr="009F5E23">
        <w:t xml:space="preserve">If you are a specialist disability accommodation provider or resident </w:t>
      </w:r>
      <w:r w:rsidR="00A53CE3">
        <w:t>use this form if you want us to hear a dispute</w:t>
      </w:r>
      <w:r w:rsidRPr="009F5E23">
        <w:t xml:space="preserve"> between the specialist disability accommodation provider and resident.</w:t>
      </w:r>
    </w:p>
    <w:p w14:paraId="4C09B17C" w14:textId="2B482286" w:rsidR="00A53CE3" w:rsidRPr="006249E4" w:rsidRDefault="00A53CE3" w:rsidP="006249E4">
      <w:pPr>
        <w:pStyle w:val="Heading2"/>
      </w:pPr>
      <w:r>
        <w:t>Definitions</w:t>
      </w:r>
    </w:p>
    <w:p w14:paraId="24CFE620" w14:textId="5C43C5F7" w:rsidR="00240F7F" w:rsidRPr="006249E4" w:rsidRDefault="00240F7F" w:rsidP="006249E4">
      <w:pPr>
        <w:pStyle w:val="BodyText"/>
        <w:spacing w:before="94" w:after="240"/>
        <w:rPr>
          <w:sz w:val="22"/>
          <w:szCs w:val="22"/>
        </w:rPr>
      </w:pPr>
      <w:r w:rsidRPr="006249E4">
        <w:rPr>
          <w:b/>
          <w:sz w:val="22"/>
          <w:szCs w:val="22"/>
        </w:rPr>
        <w:t>Administrator</w:t>
      </w:r>
      <w:r>
        <w:rPr>
          <w:sz w:val="22"/>
          <w:szCs w:val="22"/>
        </w:rPr>
        <w:t xml:space="preserve"> – </w:t>
      </w:r>
      <w:r w:rsidR="00275E4E">
        <w:rPr>
          <w:sz w:val="22"/>
          <w:szCs w:val="22"/>
        </w:rPr>
        <w:t xml:space="preserve">an SDA resident’s attorney </w:t>
      </w:r>
      <w:r w:rsidR="00DF207F">
        <w:rPr>
          <w:sz w:val="22"/>
          <w:szCs w:val="22"/>
        </w:rPr>
        <w:t xml:space="preserve">who was </w:t>
      </w:r>
      <w:r w:rsidR="00275E4E">
        <w:rPr>
          <w:sz w:val="22"/>
          <w:szCs w:val="22"/>
        </w:rPr>
        <w:t>appointed under an enduring power or attorney</w:t>
      </w:r>
      <w:r w:rsidR="00DF207F">
        <w:rPr>
          <w:sz w:val="22"/>
          <w:szCs w:val="22"/>
        </w:rPr>
        <w:t>,</w:t>
      </w:r>
      <w:r w:rsidR="00275E4E">
        <w:rPr>
          <w:sz w:val="22"/>
          <w:szCs w:val="22"/>
        </w:rPr>
        <w:t xml:space="preserve"> or </w:t>
      </w:r>
      <w:r>
        <w:rPr>
          <w:sz w:val="22"/>
          <w:szCs w:val="22"/>
        </w:rPr>
        <w:t xml:space="preserve">a person appointed by VCAT to make decisions on </w:t>
      </w:r>
      <w:r w:rsidR="00930EF4">
        <w:rPr>
          <w:sz w:val="22"/>
          <w:szCs w:val="22"/>
        </w:rPr>
        <w:t>the resident’s</w:t>
      </w:r>
      <w:r>
        <w:rPr>
          <w:sz w:val="22"/>
          <w:szCs w:val="22"/>
        </w:rPr>
        <w:t xml:space="preserve"> behalf about their financial or legal affairs</w:t>
      </w:r>
      <w:r w:rsidR="00275E4E">
        <w:rPr>
          <w:sz w:val="22"/>
          <w:szCs w:val="22"/>
        </w:rPr>
        <w:t>.</w:t>
      </w:r>
    </w:p>
    <w:p w14:paraId="7994E0F5" w14:textId="15716687" w:rsidR="00CD1C36" w:rsidRDefault="00A53CE3">
      <w:pPr>
        <w:pStyle w:val="BodyText"/>
        <w:spacing w:before="240" w:after="240"/>
        <w:ind w:right="317"/>
        <w:rPr>
          <w:i/>
          <w:sz w:val="22"/>
          <w:szCs w:val="22"/>
        </w:rPr>
      </w:pPr>
      <w:r w:rsidRPr="00B2553B">
        <w:rPr>
          <w:b/>
          <w:sz w:val="22"/>
        </w:rPr>
        <w:t>D</w:t>
      </w:r>
      <w:r w:rsidR="00CD1C36" w:rsidRPr="006249E4">
        <w:rPr>
          <w:b/>
          <w:sz w:val="22"/>
          <w:szCs w:val="22"/>
        </w:rPr>
        <w:t>isability service provider</w:t>
      </w:r>
      <w:r w:rsidR="00CD1C36" w:rsidRPr="006249E4">
        <w:rPr>
          <w:sz w:val="22"/>
          <w:szCs w:val="22"/>
        </w:rPr>
        <w:t xml:space="preserve"> </w:t>
      </w:r>
      <w:r>
        <w:rPr>
          <w:sz w:val="22"/>
          <w:szCs w:val="22"/>
        </w:rPr>
        <w:t xml:space="preserve">– </w:t>
      </w:r>
      <w:r w:rsidR="00E0010C" w:rsidRPr="009F5E23">
        <w:rPr>
          <w:sz w:val="22"/>
          <w:szCs w:val="22"/>
        </w:rPr>
        <w:t xml:space="preserve">under the </w:t>
      </w:r>
      <w:r w:rsidR="00E0010C" w:rsidRPr="009F5E23">
        <w:rPr>
          <w:i/>
          <w:sz w:val="22"/>
          <w:szCs w:val="22"/>
        </w:rPr>
        <w:t xml:space="preserve">Disability Act 2006 </w:t>
      </w:r>
      <w:r w:rsidR="00CD1C36" w:rsidRPr="006249E4">
        <w:rPr>
          <w:sz w:val="22"/>
          <w:szCs w:val="22"/>
        </w:rPr>
        <w:t>means a person or body registered on the register of disability service providers</w:t>
      </w:r>
      <w:r w:rsidR="002F3849" w:rsidRPr="006249E4">
        <w:rPr>
          <w:i/>
          <w:sz w:val="22"/>
          <w:szCs w:val="22"/>
        </w:rPr>
        <w:t>.</w:t>
      </w:r>
    </w:p>
    <w:p w14:paraId="4A16AA3A" w14:textId="4F46BF89" w:rsidR="00240F7F" w:rsidRPr="006249E4" w:rsidRDefault="00240F7F" w:rsidP="006249E4">
      <w:pPr>
        <w:pStyle w:val="BodyText"/>
        <w:spacing w:before="240" w:after="240"/>
        <w:ind w:right="317"/>
        <w:rPr>
          <w:sz w:val="22"/>
          <w:szCs w:val="22"/>
        </w:rPr>
      </w:pPr>
      <w:r w:rsidRPr="006249E4">
        <w:rPr>
          <w:b/>
          <w:sz w:val="22"/>
          <w:szCs w:val="22"/>
        </w:rPr>
        <w:t>Guardian</w:t>
      </w:r>
      <w:r w:rsidRPr="006249E4">
        <w:rPr>
          <w:sz w:val="22"/>
          <w:szCs w:val="22"/>
        </w:rPr>
        <w:t xml:space="preserve"> </w:t>
      </w:r>
      <w:r>
        <w:rPr>
          <w:sz w:val="22"/>
          <w:szCs w:val="22"/>
        </w:rPr>
        <w:t>–</w:t>
      </w:r>
      <w:r w:rsidRPr="006249E4">
        <w:rPr>
          <w:sz w:val="22"/>
          <w:szCs w:val="22"/>
        </w:rPr>
        <w:t xml:space="preserve"> </w:t>
      </w:r>
      <w:r w:rsidR="00B1675D">
        <w:rPr>
          <w:sz w:val="22"/>
          <w:szCs w:val="22"/>
        </w:rPr>
        <w:t xml:space="preserve">a resident’s attorney </w:t>
      </w:r>
      <w:r w:rsidR="006C09B0">
        <w:rPr>
          <w:sz w:val="22"/>
          <w:szCs w:val="22"/>
        </w:rPr>
        <w:t xml:space="preserve">who was </w:t>
      </w:r>
      <w:r w:rsidR="00B1675D">
        <w:rPr>
          <w:sz w:val="22"/>
          <w:szCs w:val="22"/>
        </w:rPr>
        <w:t xml:space="preserve">appointed to make decisions about personal matters under an enduring power of attorney, or </w:t>
      </w:r>
      <w:r>
        <w:rPr>
          <w:sz w:val="22"/>
          <w:szCs w:val="22"/>
        </w:rPr>
        <w:t xml:space="preserve">a person appointed by </w:t>
      </w:r>
      <w:r w:rsidR="00930EF4">
        <w:rPr>
          <w:sz w:val="22"/>
          <w:szCs w:val="22"/>
        </w:rPr>
        <w:t>VCAT</w:t>
      </w:r>
      <w:r>
        <w:rPr>
          <w:sz w:val="22"/>
          <w:szCs w:val="22"/>
        </w:rPr>
        <w:t xml:space="preserve"> to make </w:t>
      </w:r>
      <w:r w:rsidR="00930EF4">
        <w:rPr>
          <w:sz w:val="22"/>
          <w:szCs w:val="22"/>
        </w:rPr>
        <w:t xml:space="preserve">lifestyle </w:t>
      </w:r>
      <w:r>
        <w:rPr>
          <w:sz w:val="22"/>
          <w:szCs w:val="22"/>
        </w:rPr>
        <w:t xml:space="preserve">decisions </w:t>
      </w:r>
      <w:r w:rsidR="00930EF4">
        <w:rPr>
          <w:sz w:val="22"/>
          <w:szCs w:val="22"/>
        </w:rPr>
        <w:t>on the resident’s behalf</w:t>
      </w:r>
      <w:r w:rsidR="00B1675D">
        <w:rPr>
          <w:sz w:val="22"/>
          <w:szCs w:val="22"/>
        </w:rPr>
        <w:t>.</w:t>
      </w:r>
      <w:r w:rsidR="00930EF4">
        <w:rPr>
          <w:sz w:val="22"/>
          <w:szCs w:val="22"/>
        </w:rPr>
        <w:t xml:space="preserve"> Lifestyle decisions</w:t>
      </w:r>
      <w:r w:rsidR="00B1675D">
        <w:rPr>
          <w:sz w:val="22"/>
          <w:szCs w:val="22"/>
        </w:rPr>
        <w:t xml:space="preserve"> may</w:t>
      </w:r>
      <w:r w:rsidR="00930EF4">
        <w:rPr>
          <w:sz w:val="22"/>
          <w:szCs w:val="22"/>
        </w:rPr>
        <w:t xml:space="preserve"> include </w:t>
      </w:r>
      <w:r>
        <w:rPr>
          <w:sz w:val="22"/>
          <w:szCs w:val="22"/>
        </w:rPr>
        <w:t xml:space="preserve">health care, employment and living arrangements. </w:t>
      </w:r>
    </w:p>
    <w:p w14:paraId="7C96B863" w14:textId="3D2C9AE9" w:rsidR="00B8591B" w:rsidRDefault="00D71DAB" w:rsidP="006249E4">
      <w:pPr>
        <w:pStyle w:val="BodyText"/>
        <w:tabs>
          <w:tab w:val="left" w:pos="2905"/>
        </w:tabs>
        <w:spacing w:before="240" w:after="240"/>
        <w:rPr>
          <w:sz w:val="22"/>
          <w:szCs w:val="22"/>
        </w:rPr>
      </w:pPr>
      <w:r w:rsidRPr="006249E4">
        <w:rPr>
          <w:b/>
          <w:sz w:val="22"/>
          <w:szCs w:val="22"/>
        </w:rPr>
        <w:t>Specialist disability accommodation provider</w:t>
      </w:r>
      <w:r w:rsidR="00A53CE3">
        <w:rPr>
          <w:b/>
          <w:sz w:val="22"/>
          <w:szCs w:val="22"/>
        </w:rPr>
        <w:t xml:space="preserve"> </w:t>
      </w:r>
      <w:r w:rsidR="00A53CE3" w:rsidRPr="006249E4">
        <w:rPr>
          <w:sz w:val="22"/>
          <w:szCs w:val="22"/>
        </w:rPr>
        <w:t>–</w:t>
      </w:r>
      <w:r w:rsidR="00A53CE3">
        <w:rPr>
          <w:b/>
          <w:sz w:val="22"/>
          <w:szCs w:val="22"/>
        </w:rPr>
        <w:t xml:space="preserve"> </w:t>
      </w:r>
      <w:r w:rsidR="00E0010C" w:rsidRPr="009F5E23">
        <w:rPr>
          <w:sz w:val="22"/>
          <w:szCs w:val="22"/>
        </w:rPr>
        <w:t xml:space="preserve">under the </w:t>
      </w:r>
      <w:r w:rsidR="00E0010C" w:rsidRPr="009F5E23">
        <w:rPr>
          <w:i/>
          <w:sz w:val="22"/>
          <w:szCs w:val="22"/>
        </w:rPr>
        <w:t>Residential Tenancies Act 1997</w:t>
      </w:r>
      <w:r w:rsidRPr="006249E4">
        <w:rPr>
          <w:b/>
          <w:sz w:val="22"/>
          <w:szCs w:val="22"/>
        </w:rPr>
        <w:t xml:space="preserve"> </w:t>
      </w:r>
      <w:r w:rsidRPr="006249E4">
        <w:rPr>
          <w:sz w:val="22"/>
          <w:szCs w:val="22"/>
        </w:rPr>
        <w:t xml:space="preserve">means </w:t>
      </w:r>
      <w:r w:rsidR="00B8591B" w:rsidRPr="00B8591B">
        <w:rPr>
          <w:sz w:val="22"/>
          <w:szCs w:val="22"/>
        </w:rPr>
        <w:t xml:space="preserve">a person who is the owner or leaseholder of a SDA dwelling, if the premises are let under or proposed to be let under a SDA rental agreement to an SDA resident. </w:t>
      </w:r>
    </w:p>
    <w:p w14:paraId="4CD282ED" w14:textId="3C5CB5B0" w:rsidR="00031410" w:rsidRDefault="00D71DAB" w:rsidP="00B8591B">
      <w:pPr>
        <w:pStyle w:val="BodyText"/>
        <w:tabs>
          <w:tab w:val="left" w:pos="2905"/>
        </w:tabs>
        <w:spacing w:before="240" w:after="240"/>
        <w:rPr>
          <w:b/>
          <w:color w:val="262626" w:themeColor="text1" w:themeTint="D9"/>
          <w:sz w:val="32"/>
        </w:rPr>
      </w:pPr>
      <w:r w:rsidRPr="006249E4">
        <w:rPr>
          <w:b/>
          <w:sz w:val="22"/>
          <w:szCs w:val="22"/>
        </w:rPr>
        <w:t xml:space="preserve">Specialist disability accommodation resident </w:t>
      </w:r>
      <w:r w:rsidR="00A53CE3" w:rsidRPr="006249E4">
        <w:rPr>
          <w:sz w:val="22"/>
          <w:szCs w:val="22"/>
        </w:rPr>
        <w:t>–</w:t>
      </w:r>
      <w:r w:rsidR="00A53CE3">
        <w:rPr>
          <w:b/>
          <w:sz w:val="22"/>
          <w:szCs w:val="22"/>
        </w:rPr>
        <w:t xml:space="preserve"> </w:t>
      </w:r>
      <w:r w:rsidR="00E0010C" w:rsidRPr="009F5E23">
        <w:rPr>
          <w:sz w:val="22"/>
          <w:szCs w:val="22"/>
        </w:rPr>
        <w:t xml:space="preserve">under the </w:t>
      </w:r>
      <w:r w:rsidR="00E0010C" w:rsidRPr="009F5E23">
        <w:rPr>
          <w:i/>
          <w:sz w:val="22"/>
          <w:szCs w:val="22"/>
        </w:rPr>
        <w:t xml:space="preserve">Residential Tenancies Act 1997 </w:t>
      </w:r>
      <w:r w:rsidR="00B96AC6" w:rsidRPr="006249E4">
        <w:rPr>
          <w:sz w:val="22"/>
          <w:szCs w:val="22"/>
        </w:rPr>
        <w:t xml:space="preserve">means </w:t>
      </w:r>
      <w:r w:rsidR="00B8591B" w:rsidRPr="00B8591B">
        <w:rPr>
          <w:sz w:val="22"/>
          <w:szCs w:val="22"/>
        </w:rPr>
        <w:t xml:space="preserve">a person with a disability who receives or is eligible to receive, funded daily independent living support and who is residing or propose to reside, in an SDA dwelling under an SDA rental agreement. </w:t>
      </w:r>
      <w:r w:rsidR="00031410">
        <w:br w:type="page"/>
      </w:r>
    </w:p>
    <w:p w14:paraId="646231E2" w14:textId="77777777" w:rsidR="00031410" w:rsidRDefault="00031410" w:rsidP="009F5E23">
      <w:pPr>
        <w:pStyle w:val="Heading2"/>
      </w:pPr>
    </w:p>
    <w:p w14:paraId="38367B97" w14:textId="141A3791" w:rsidR="00930EF4" w:rsidRDefault="00930EF4" w:rsidP="009F5E23">
      <w:pPr>
        <w:pStyle w:val="Heading2"/>
      </w:pPr>
      <w:r>
        <w:t xml:space="preserve">Legal help or advice </w:t>
      </w:r>
    </w:p>
    <w:p w14:paraId="38B44E87" w14:textId="33D46DA9" w:rsidR="00930EF4" w:rsidRDefault="00930EF4" w:rsidP="00930EF4">
      <w:r>
        <w:t xml:space="preserve">VCAT can explain the application process and what the form is asking you for. Contact us on 1300 01 8228 or email </w:t>
      </w:r>
      <w:hyperlink r:id="rId8" w:history="1">
        <w:r w:rsidRPr="006249E4">
          <w:rPr>
            <w:rStyle w:val="Hyperlink"/>
            <w:color w:val="auto"/>
            <w:u w:val="none"/>
          </w:rPr>
          <w:t>renting@vcat.vic.gov.au</w:t>
        </w:r>
      </w:hyperlink>
      <w:r>
        <w:t xml:space="preserve">. </w:t>
      </w:r>
    </w:p>
    <w:p w14:paraId="315B53EB" w14:textId="77777777" w:rsidR="00930EF4" w:rsidRDefault="00930EF4" w:rsidP="00930EF4"/>
    <w:p w14:paraId="71D1B617" w14:textId="360A7BA2" w:rsidR="00930EF4" w:rsidRDefault="00930EF4" w:rsidP="00930EF4">
      <w:r>
        <w:t xml:space="preserve">We cannot provide legal advice. This means we cannot tell you what to write in your application or recommend how to get the outcome you want. </w:t>
      </w:r>
    </w:p>
    <w:p w14:paraId="4B35D922" w14:textId="6BD7BAAD" w:rsidR="00930EF4" w:rsidRDefault="00930EF4" w:rsidP="00930EF4"/>
    <w:p w14:paraId="5888B44A" w14:textId="495EB2DB" w:rsidR="00EC4641" w:rsidRDefault="00EC4641" w:rsidP="00930EF4">
      <w:r>
        <w:t>You can seek legal help from a private lawyer. Some organisations provide free or low-cost legal services, including:</w:t>
      </w:r>
    </w:p>
    <w:p w14:paraId="10888211" w14:textId="5FF27E4C" w:rsidR="00EC4641" w:rsidRDefault="00EC4641" w:rsidP="00930EF4"/>
    <w:p w14:paraId="74E41C52" w14:textId="6A81ED4C" w:rsidR="00EC4641" w:rsidRPr="006249E4" w:rsidRDefault="00EC4641" w:rsidP="00930EF4">
      <w:pPr>
        <w:rPr>
          <w:b/>
        </w:rPr>
      </w:pPr>
      <w:r w:rsidRPr="006249E4">
        <w:rPr>
          <w:b/>
        </w:rPr>
        <w:t>Victoria Legal Aid</w:t>
      </w:r>
    </w:p>
    <w:p w14:paraId="15796836" w14:textId="2A034663" w:rsidR="00EC4641" w:rsidRDefault="00EC4641" w:rsidP="00930EF4">
      <w:r>
        <w:t>1300 792 387</w:t>
      </w:r>
    </w:p>
    <w:p w14:paraId="5AB01F73" w14:textId="6051A797" w:rsidR="00EC4641" w:rsidRPr="009F5E23" w:rsidRDefault="00000000" w:rsidP="00930EF4">
      <w:hyperlink r:id="rId9" w:history="1">
        <w:r w:rsidR="00EC4641" w:rsidRPr="006249E4">
          <w:rPr>
            <w:rStyle w:val="Hyperlink"/>
            <w:color w:val="auto"/>
            <w:u w:val="none"/>
          </w:rPr>
          <w:t>www.legalaid.vic.gov.au</w:t>
        </w:r>
      </w:hyperlink>
      <w:r w:rsidR="00EC4641" w:rsidRPr="009F5E23">
        <w:t xml:space="preserve"> </w:t>
      </w:r>
    </w:p>
    <w:p w14:paraId="3797301C" w14:textId="3E1D7D5C" w:rsidR="00EC4641" w:rsidRDefault="00EC4641" w:rsidP="00930EF4"/>
    <w:p w14:paraId="0C5F0E70" w14:textId="2784ECFA" w:rsidR="00EC4641" w:rsidRPr="006249E4" w:rsidRDefault="00EC4641" w:rsidP="00930EF4">
      <w:pPr>
        <w:rPr>
          <w:b/>
        </w:rPr>
      </w:pPr>
      <w:r w:rsidRPr="006249E4">
        <w:rPr>
          <w:b/>
        </w:rPr>
        <w:t>Community legal centres</w:t>
      </w:r>
    </w:p>
    <w:p w14:paraId="318407A4" w14:textId="7D61934F" w:rsidR="00EC4641" w:rsidRDefault="00EC4641" w:rsidP="00930EF4">
      <w:r>
        <w:t>03 9652 1500</w:t>
      </w:r>
    </w:p>
    <w:p w14:paraId="235D306B" w14:textId="460694AA" w:rsidR="00EC4641" w:rsidRPr="009F5E23" w:rsidRDefault="00000000" w:rsidP="00930EF4">
      <w:hyperlink r:id="rId10" w:history="1">
        <w:r w:rsidR="00EC4641" w:rsidRPr="006249E4">
          <w:rPr>
            <w:rStyle w:val="Hyperlink"/>
            <w:color w:val="auto"/>
            <w:u w:val="none"/>
          </w:rPr>
          <w:t>www.fclc.org.au</w:t>
        </w:r>
      </w:hyperlink>
    </w:p>
    <w:p w14:paraId="6C061B6B" w14:textId="0582064B" w:rsidR="00EC4641" w:rsidRDefault="00EC4641" w:rsidP="00930EF4"/>
    <w:p w14:paraId="68381820" w14:textId="531DB174" w:rsidR="00EC4641" w:rsidRPr="006249E4" w:rsidRDefault="00EC4641" w:rsidP="00930EF4">
      <w:pPr>
        <w:rPr>
          <w:b/>
        </w:rPr>
      </w:pPr>
      <w:r w:rsidRPr="006249E4">
        <w:rPr>
          <w:b/>
        </w:rPr>
        <w:t>Justice Connect</w:t>
      </w:r>
    </w:p>
    <w:p w14:paraId="352D8768" w14:textId="22F85152" w:rsidR="00EC4641" w:rsidRDefault="00EC4641" w:rsidP="00930EF4">
      <w:r>
        <w:t>03 8636 400</w:t>
      </w:r>
    </w:p>
    <w:p w14:paraId="2657B6C1" w14:textId="14309705" w:rsidR="0049679E" w:rsidRPr="009F5E23" w:rsidRDefault="00000000" w:rsidP="006249E4">
      <w:hyperlink r:id="rId11" w:history="1">
        <w:r w:rsidR="00EC4641" w:rsidRPr="009F5E23">
          <w:rPr>
            <w:rStyle w:val="Hyperlink"/>
            <w:color w:val="auto"/>
            <w:u w:val="none"/>
          </w:rPr>
          <w:t>www.justiceconnect.org.au</w:t>
        </w:r>
      </w:hyperlink>
    </w:p>
    <w:p w14:paraId="42EBDB6D" w14:textId="77777777" w:rsidR="00590A82" w:rsidRPr="00A7410A" w:rsidRDefault="00590A82" w:rsidP="00590A82">
      <w:pPr>
        <w:pStyle w:val="Heading2"/>
      </w:pPr>
      <w:r w:rsidRPr="00A7410A">
        <w:t>Is there a</w:t>
      </w:r>
      <w:r>
        <w:t>n application</w:t>
      </w:r>
      <w:r w:rsidRPr="00A7410A">
        <w:t xml:space="preserve"> fee?</w:t>
      </w:r>
    </w:p>
    <w:p w14:paraId="5EEED621" w14:textId="1DF2C88D" w:rsidR="00ED1741" w:rsidRPr="00ED1741" w:rsidRDefault="00ED1741" w:rsidP="00ED1741">
      <w:pPr>
        <w:pStyle w:val="Heading3"/>
      </w:pPr>
      <w:r w:rsidRPr="00ED1741">
        <w:t>If you have an SDA residency agreement</w:t>
      </w:r>
    </w:p>
    <w:p w14:paraId="2DF9ABC7" w14:textId="3293B91B" w:rsidR="0044311B" w:rsidRDefault="00590A82" w:rsidP="00590A82">
      <w:pPr>
        <w:spacing w:before="240"/>
        <w:rPr>
          <w:color w:val="262626" w:themeColor="text1" w:themeTint="D9"/>
        </w:rPr>
      </w:pPr>
      <w:r w:rsidRPr="00A7410A">
        <w:rPr>
          <w:color w:val="262626" w:themeColor="text1" w:themeTint="D9"/>
        </w:rPr>
        <w:t xml:space="preserve">There </w:t>
      </w:r>
      <w:r w:rsidR="00ED1741">
        <w:rPr>
          <w:color w:val="262626" w:themeColor="text1" w:themeTint="D9"/>
        </w:rPr>
        <w:t>are no application fees.</w:t>
      </w:r>
    </w:p>
    <w:p w14:paraId="6831019F" w14:textId="1AD5D167" w:rsidR="00ED1741" w:rsidRDefault="00ED1741" w:rsidP="00ED1741">
      <w:pPr>
        <w:pStyle w:val="Heading3"/>
      </w:pPr>
      <w:r>
        <w:t>If your dispute is about an SDA</w:t>
      </w:r>
      <w:r w:rsidR="00031410">
        <w:t xml:space="preserve"> </w:t>
      </w:r>
      <w:r>
        <w:t xml:space="preserve">dwelling and </w:t>
      </w:r>
      <w:r w:rsidR="00DF207F">
        <w:t xml:space="preserve">you </w:t>
      </w:r>
      <w:r>
        <w:t xml:space="preserve">have a </w:t>
      </w:r>
      <w:r w:rsidR="006E2D17">
        <w:t>rental agreement</w:t>
      </w:r>
      <w:r w:rsidR="00DF207F">
        <w:t xml:space="preserve"> (</w:t>
      </w:r>
      <w:r>
        <w:t>lease</w:t>
      </w:r>
      <w:r w:rsidR="00DF207F">
        <w:t>)</w:t>
      </w:r>
    </w:p>
    <w:p w14:paraId="6D4DC999" w14:textId="5E5380EF" w:rsidR="00590A82" w:rsidRDefault="00DF207F" w:rsidP="00590A82">
      <w:pPr>
        <w:spacing w:before="240"/>
        <w:rPr>
          <w:color w:val="262626" w:themeColor="text1" w:themeTint="D9"/>
        </w:rPr>
      </w:pPr>
      <w:r>
        <w:rPr>
          <w:color w:val="262626" w:themeColor="text1" w:themeTint="D9"/>
        </w:rPr>
        <w:t>A</w:t>
      </w:r>
      <w:r w:rsidR="00ED1741">
        <w:rPr>
          <w:color w:val="262626" w:themeColor="text1" w:themeTint="D9"/>
        </w:rPr>
        <w:t xml:space="preserve">pplication fees apply. </w:t>
      </w:r>
      <w:r w:rsidR="00836E2B">
        <w:rPr>
          <w:color w:val="262626" w:themeColor="text1" w:themeTint="D9"/>
        </w:rPr>
        <w:t xml:space="preserve">See </w:t>
      </w:r>
      <w:hyperlink r:id="rId12" w:history="1">
        <w:r w:rsidR="00836E2B" w:rsidRPr="00836E2B">
          <w:t>www.vcat.vic.gov.au/rentingfees</w:t>
        </w:r>
      </w:hyperlink>
    </w:p>
    <w:p w14:paraId="5571D84B" w14:textId="65F4A281" w:rsidR="00B23E8B" w:rsidRPr="009F5E23" w:rsidRDefault="0053116C" w:rsidP="006249E4">
      <w:pPr>
        <w:pStyle w:val="Heading2"/>
      </w:pPr>
      <w:r>
        <w:t>About the Claim Details section of the application form</w:t>
      </w:r>
    </w:p>
    <w:p w14:paraId="2BA6F03F" w14:textId="0E07C89E" w:rsidR="00B46207" w:rsidRDefault="00B23E8B" w:rsidP="00B23E8B">
      <w:pPr>
        <w:spacing w:before="240" w:after="240"/>
      </w:pPr>
      <w:r w:rsidRPr="009F5E23">
        <w:t>This section of the application is importan</w:t>
      </w:r>
      <w:r w:rsidR="00B46207">
        <w:t>t. It tells VCAT and the person, company or organisation you are making your application against why you want to go to VCAT.</w:t>
      </w:r>
    </w:p>
    <w:p w14:paraId="5D51A07D" w14:textId="5BA7FE02" w:rsidR="00B23E8B" w:rsidRPr="009F5E23" w:rsidRDefault="00B46207" w:rsidP="00B23E8B">
      <w:pPr>
        <w:spacing w:before="240" w:after="240"/>
      </w:pPr>
      <w:r>
        <w:t>In this section, y</w:t>
      </w:r>
      <w:r w:rsidR="00B23E8B" w:rsidRPr="009F5E23">
        <w:t>ou must explain</w:t>
      </w:r>
      <w:r>
        <w:t>:</w:t>
      </w:r>
    </w:p>
    <w:p w14:paraId="1DD57D34" w14:textId="491C2778" w:rsidR="00B23E8B" w:rsidRPr="009F5E23" w:rsidRDefault="00B23E8B" w:rsidP="00B23E8B">
      <w:pPr>
        <w:pStyle w:val="ListParagraph"/>
        <w:numPr>
          <w:ilvl w:val="0"/>
          <w:numId w:val="16"/>
        </w:numPr>
        <w:spacing w:before="240" w:after="240"/>
      </w:pPr>
      <w:r w:rsidRPr="009F5E23">
        <w:t>what you are claiming</w:t>
      </w:r>
      <w:r w:rsidR="00C02EF7">
        <w:t xml:space="preserve"> and why</w:t>
      </w:r>
    </w:p>
    <w:p w14:paraId="56539955" w14:textId="07C04A3E" w:rsidR="00B23E8B" w:rsidRPr="009F5E23" w:rsidRDefault="00B23E8B" w:rsidP="00B23E8B">
      <w:pPr>
        <w:pStyle w:val="ListParagraph"/>
        <w:numPr>
          <w:ilvl w:val="0"/>
          <w:numId w:val="16"/>
        </w:numPr>
        <w:spacing w:before="240" w:after="240"/>
      </w:pPr>
      <w:r w:rsidRPr="009F5E23">
        <w:t>what section of the legislation your claim relates to</w:t>
      </w:r>
    </w:p>
    <w:p w14:paraId="7BF1E8B7" w14:textId="77777777" w:rsidR="00B1675D" w:rsidRDefault="00661357" w:rsidP="006249E4">
      <w:pPr>
        <w:pStyle w:val="ListParagraph"/>
        <w:numPr>
          <w:ilvl w:val="0"/>
          <w:numId w:val="16"/>
        </w:numPr>
        <w:spacing w:before="240" w:after="240"/>
      </w:pPr>
      <w:r w:rsidRPr="009F5E23">
        <w:t xml:space="preserve">what you want </w:t>
      </w:r>
      <w:r w:rsidR="00B46207">
        <w:t>VCAT</w:t>
      </w:r>
      <w:r w:rsidRPr="009F5E23">
        <w:t xml:space="preserve"> to do</w:t>
      </w:r>
    </w:p>
    <w:p w14:paraId="33535E7E" w14:textId="504C6162" w:rsidR="00930EF4" w:rsidRPr="009F5E23" w:rsidRDefault="00B1675D" w:rsidP="006249E4">
      <w:pPr>
        <w:pStyle w:val="ListParagraph"/>
        <w:numPr>
          <w:ilvl w:val="0"/>
          <w:numId w:val="16"/>
        </w:numPr>
        <w:spacing w:before="240" w:after="240"/>
      </w:pPr>
      <w:r>
        <w:t xml:space="preserve">what the other party has done wrong, how </w:t>
      </w:r>
      <w:r w:rsidR="00966B1A">
        <w:t xml:space="preserve">you have suffered losses and the amount </w:t>
      </w:r>
      <w:r w:rsidR="00966B1A">
        <w:lastRenderedPageBreak/>
        <w:t xml:space="preserve">of money you are claiming, </w:t>
      </w:r>
      <w:r>
        <w:t>if you want compensation</w:t>
      </w:r>
      <w:r w:rsidR="00B46207">
        <w:t>.</w:t>
      </w:r>
    </w:p>
    <w:p w14:paraId="69947DE1" w14:textId="5AFBB111" w:rsidR="00B23E8B" w:rsidRPr="009F5E23" w:rsidRDefault="00B23E8B" w:rsidP="00B23E8B">
      <w:pPr>
        <w:spacing w:before="240" w:after="240"/>
      </w:pPr>
      <w:r w:rsidRPr="009F5E23">
        <w:t xml:space="preserve">If this information is not provided, </w:t>
      </w:r>
      <w:r w:rsidR="00B46207">
        <w:t>we may dismiss your application or your VCAT hearing may be delayed.</w:t>
      </w:r>
    </w:p>
    <w:p w14:paraId="413E8B07" w14:textId="4131DEC4" w:rsidR="00B46207" w:rsidRPr="009F5E23" w:rsidRDefault="00B46207" w:rsidP="006249E4">
      <w:pPr>
        <w:spacing w:before="240" w:after="240"/>
      </w:pPr>
      <w:r>
        <w:t xml:space="preserve">Make sure you quote the correct sections </w:t>
      </w:r>
      <w:r w:rsidR="00966B1A">
        <w:t xml:space="preserve">and the correct </w:t>
      </w:r>
      <w:r>
        <w:t xml:space="preserve">Act when completing your claim details. The tables below may help you identify the correct section number you are making your application under. </w:t>
      </w:r>
    </w:p>
    <w:p w14:paraId="47C26734" w14:textId="306EF95B" w:rsidR="00E9032A" w:rsidRPr="009F5E23" w:rsidRDefault="00E9032A" w:rsidP="006249E4">
      <w:pPr>
        <w:spacing w:before="240" w:after="240"/>
        <w:rPr>
          <w:sz w:val="16"/>
        </w:rPr>
        <w:sectPr w:rsidR="00E9032A" w:rsidRPr="009F5E23" w:rsidSect="00031410">
          <w:headerReference w:type="even" r:id="rId13"/>
          <w:headerReference w:type="default" r:id="rId14"/>
          <w:footerReference w:type="even" r:id="rId15"/>
          <w:footerReference w:type="default" r:id="rId16"/>
          <w:headerReference w:type="first" r:id="rId17"/>
          <w:footerReference w:type="first" r:id="rId18"/>
          <w:pgSz w:w="11910" w:h="16840"/>
          <w:pgMar w:top="1440" w:right="1440" w:bottom="1440" w:left="1440" w:header="0" w:footer="1421" w:gutter="0"/>
          <w:cols w:space="720"/>
          <w:docGrid w:linePitch="299"/>
        </w:sectPr>
      </w:pPr>
    </w:p>
    <w:p w14:paraId="1F1D542B" w14:textId="3470A0BC" w:rsidR="004B2B19" w:rsidRPr="006249E4" w:rsidRDefault="00C955C3" w:rsidP="006249E4">
      <w:pPr>
        <w:pStyle w:val="Heading3"/>
        <w:rPr>
          <w:sz w:val="16"/>
        </w:rPr>
      </w:pPr>
      <w:r w:rsidRPr="006249E4">
        <w:t>Apply about an SDA</w:t>
      </w:r>
      <w:r w:rsidR="00031410">
        <w:t xml:space="preserve"> </w:t>
      </w:r>
      <w:r w:rsidRPr="006249E4">
        <w:t>dwelling</w:t>
      </w:r>
    </w:p>
    <w:tbl>
      <w:tblPr>
        <w:tblStyle w:val="GridTable2-Accent1"/>
        <w:tblW w:w="9140" w:type="dxa"/>
        <w:tblInd w:w="108" w:type="dxa"/>
        <w:tblLook w:val="0420" w:firstRow="1" w:lastRow="0" w:firstColumn="0" w:lastColumn="0" w:noHBand="0" w:noVBand="1"/>
      </w:tblPr>
      <w:tblGrid>
        <w:gridCol w:w="2954"/>
        <w:gridCol w:w="1549"/>
        <w:gridCol w:w="2193"/>
        <w:gridCol w:w="2444"/>
      </w:tblGrid>
      <w:tr w:rsidR="001D60D7" w:rsidRPr="009F5E23" w14:paraId="5E1DA0A1" w14:textId="77777777" w:rsidTr="006249E4">
        <w:trPr>
          <w:cnfStyle w:val="100000000000" w:firstRow="1" w:lastRow="0" w:firstColumn="0" w:lastColumn="0" w:oddVBand="0" w:evenVBand="0" w:oddHBand="0" w:evenHBand="0" w:firstRowFirstColumn="0" w:firstRowLastColumn="0" w:lastRowFirstColumn="0" w:lastRowLastColumn="0"/>
        </w:trPr>
        <w:tc>
          <w:tcPr>
            <w:tcW w:w="3045" w:type="dxa"/>
          </w:tcPr>
          <w:p w14:paraId="5A7CEA85" w14:textId="4601AE51" w:rsidR="00152D89" w:rsidRPr="009F5E23" w:rsidDel="00C955C3" w:rsidRDefault="00AA0BA9" w:rsidP="00D221EA">
            <w:pPr>
              <w:rPr>
                <w:color w:val="262626" w:themeColor="text1" w:themeTint="D9"/>
              </w:rPr>
            </w:pPr>
            <w:bookmarkStart w:id="0" w:name="RowTitle_2" w:colFirst="0" w:colLast="0"/>
            <w:r>
              <w:rPr>
                <w:color w:val="262626" w:themeColor="text1" w:themeTint="D9"/>
              </w:rPr>
              <w:t>I want VCAT to</w:t>
            </w:r>
          </w:p>
        </w:tc>
        <w:tc>
          <w:tcPr>
            <w:tcW w:w="1275" w:type="dxa"/>
          </w:tcPr>
          <w:p w14:paraId="053DD0E7" w14:textId="008C1952" w:rsidR="00152D89" w:rsidRPr="009F5E23" w:rsidRDefault="00152D89" w:rsidP="00D221EA">
            <w:pPr>
              <w:rPr>
                <w:color w:val="262626" w:themeColor="text1" w:themeTint="D9"/>
              </w:rPr>
            </w:pPr>
            <w:r>
              <w:rPr>
                <w:color w:val="262626" w:themeColor="text1" w:themeTint="D9"/>
              </w:rPr>
              <w:t xml:space="preserve">Section of the </w:t>
            </w:r>
            <w:r w:rsidR="00AA0BA9">
              <w:rPr>
                <w:color w:val="262626" w:themeColor="text1" w:themeTint="D9"/>
              </w:rPr>
              <w:t xml:space="preserve">Residential Tenancies </w:t>
            </w:r>
            <w:r w:rsidR="00173FAA">
              <w:rPr>
                <w:color w:val="262626" w:themeColor="text1" w:themeTint="D9"/>
              </w:rPr>
              <w:t>A</w:t>
            </w:r>
            <w:r>
              <w:rPr>
                <w:color w:val="262626" w:themeColor="text1" w:themeTint="D9"/>
              </w:rPr>
              <w:t>ct</w:t>
            </w:r>
            <w:r w:rsidR="00AA0BA9">
              <w:rPr>
                <w:color w:val="262626" w:themeColor="text1" w:themeTint="D9"/>
              </w:rPr>
              <w:t xml:space="preserve"> 1997</w:t>
            </w:r>
          </w:p>
        </w:tc>
        <w:tc>
          <w:tcPr>
            <w:tcW w:w="2268" w:type="dxa"/>
          </w:tcPr>
          <w:p w14:paraId="2F83E691" w14:textId="751C5832" w:rsidR="00152D89" w:rsidRPr="009F5E23" w:rsidRDefault="00152D89" w:rsidP="00D221EA">
            <w:pPr>
              <w:rPr>
                <w:color w:val="262626" w:themeColor="text1" w:themeTint="D9"/>
              </w:rPr>
            </w:pPr>
            <w:r>
              <w:rPr>
                <w:color w:val="262626" w:themeColor="text1" w:themeTint="D9"/>
              </w:rPr>
              <w:t>Further documents required or useful to include with your application</w:t>
            </w:r>
          </w:p>
        </w:tc>
        <w:tc>
          <w:tcPr>
            <w:tcW w:w="2552" w:type="dxa"/>
          </w:tcPr>
          <w:p w14:paraId="72310870" w14:textId="3DE46C40" w:rsidR="00152D89" w:rsidRPr="009F5E23" w:rsidDel="00182B7D" w:rsidRDefault="00152D89" w:rsidP="002C4CDA">
            <w:pPr>
              <w:rPr>
                <w:color w:val="262626" w:themeColor="text1" w:themeTint="D9"/>
              </w:rPr>
            </w:pPr>
            <w:r>
              <w:rPr>
                <w:color w:val="262626" w:themeColor="text1" w:themeTint="D9"/>
              </w:rPr>
              <w:t>Time limit for applying</w:t>
            </w:r>
          </w:p>
        </w:tc>
      </w:tr>
      <w:tr w:rsidR="001D60D7" w:rsidRPr="009F5E23" w14:paraId="2968F49F" w14:textId="77777777" w:rsidTr="006249E4">
        <w:trPr>
          <w:cnfStyle w:val="000000100000" w:firstRow="0" w:lastRow="0" w:firstColumn="0" w:lastColumn="0" w:oddVBand="0" w:evenVBand="0" w:oddHBand="1" w:evenHBand="0" w:firstRowFirstColumn="0" w:firstRowLastColumn="0" w:lastRowFirstColumn="0" w:lastRowLastColumn="0"/>
        </w:trPr>
        <w:tc>
          <w:tcPr>
            <w:tcW w:w="3045" w:type="dxa"/>
          </w:tcPr>
          <w:p w14:paraId="24C7A4B1" w14:textId="6731C8A9" w:rsidR="00D221EA" w:rsidRPr="006249E4" w:rsidRDefault="00C955C3" w:rsidP="00D221EA">
            <w:pPr>
              <w:rPr>
                <w:color w:val="262626" w:themeColor="text1" w:themeTint="D9"/>
              </w:rPr>
            </w:pPr>
            <w:r>
              <w:rPr>
                <w:color w:val="262626" w:themeColor="text1" w:themeTint="D9"/>
              </w:rPr>
              <w:t>End</w:t>
            </w:r>
            <w:r w:rsidR="00A6083B" w:rsidRPr="006249E4">
              <w:rPr>
                <w:color w:val="262626" w:themeColor="text1" w:themeTint="D9"/>
              </w:rPr>
              <w:t xml:space="preserve"> </w:t>
            </w:r>
            <w:r>
              <w:rPr>
                <w:color w:val="262626" w:themeColor="text1" w:themeTint="D9"/>
              </w:rPr>
              <w:t>a</w:t>
            </w:r>
            <w:r w:rsidR="00A6083B" w:rsidRPr="006249E4">
              <w:rPr>
                <w:color w:val="262626" w:themeColor="text1" w:themeTint="D9"/>
              </w:rPr>
              <w:t xml:space="preserve"> </w:t>
            </w:r>
            <w:r w:rsidR="006E2D17">
              <w:rPr>
                <w:color w:val="262626" w:themeColor="text1" w:themeTint="D9"/>
              </w:rPr>
              <w:t>rental</w:t>
            </w:r>
            <w:r w:rsidR="00A6083B" w:rsidRPr="006249E4">
              <w:rPr>
                <w:color w:val="262626" w:themeColor="text1" w:themeTint="D9"/>
              </w:rPr>
              <w:t xml:space="preserve"> agreement </w:t>
            </w:r>
            <w:r w:rsidR="009F302C">
              <w:rPr>
                <w:color w:val="262626" w:themeColor="text1" w:themeTint="D9"/>
              </w:rPr>
              <w:t xml:space="preserve">(lease) </w:t>
            </w:r>
            <w:r w:rsidR="00A6083B" w:rsidRPr="006249E4">
              <w:rPr>
                <w:color w:val="262626" w:themeColor="text1" w:themeTint="D9"/>
              </w:rPr>
              <w:t xml:space="preserve">because </w:t>
            </w:r>
            <w:r>
              <w:rPr>
                <w:color w:val="262626" w:themeColor="text1" w:themeTint="D9"/>
              </w:rPr>
              <w:t>the resident</w:t>
            </w:r>
            <w:r w:rsidR="00A6083B" w:rsidRPr="006249E4">
              <w:rPr>
                <w:color w:val="262626" w:themeColor="text1" w:themeTint="D9"/>
              </w:rPr>
              <w:t xml:space="preserve"> w</w:t>
            </w:r>
            <w:r>
              <w:rPr>
                <w:color w:val="262626" w:themeColor="text1" w:themeTint="D9"/>
              </w:rPr>
              <w:t xml:space="preserve">as </w:t>
            </w:r>
            <w:r w:rsidR="00A6083B" w:rsidRPr="006249E4">
              <w:rPr>
                <w:color w:val="262626" w:themeColor="text1" w:themeTint="D9"/>
              </w:rPr>
              <w:t>coerced or deceived into entering the agreement, did not receive an information statement, or did not receive an explanation of the information statement.</w:t>
            </w:r>
            <w:r w:rsidR="006249E4">
              <w:rPr>
                <w:color w:val="262626" w:themeColor="text1" w:themeTint="D9"/>
              </w:rPr>
              <w:t xml:space="preserve"> </w:t>
            </w:r>
          </w:p>
        </w:tc>
        <w:tc>
          <w:tcPr>
            <w:tcW w:w="1275" w:type="dxa"/>
          </w:tcPr>
          <w:p w14:paraId="0BF8ABEF" w14:textId="77777777" w:rsidR="00306141" w:rsidRPr="00306141" w:rsidRDefault="00306141" w:rsidP="00306141">
            <w:pPr>
              <w:rPr>
                <w:color w:val="262626" w:themeColor="text1" w:themeTint="D9"/>
              </w:rPr>
            </w:pPr>
            <w:r w:rsidRPr="00306141">
              <w:rPr>
                <w:color w:val="262626" w:themeColor="text1" w:themeTint="D9"/>
              </w:rPr>
              <w:t>91YA</w:t>
            </w:r>
          </w:p>
          <w:p w14:paraId="1712545B" w14:textId="77777777" w:rsidR="00966B1A" w:rsidRDefault="00966B1A" w:rsidP="00D221EA">
            <w:pPr>
              <w:rPr>
                <w:color w:val="262626" w:themeColor="text1" w:themeTint="D9"/>
              </w:rPr>
            </w:pPr>
          </w:p>
          <w:p w14:paraId="1A05EFCC" w14:textId="01117949" w:rsidR="00D221EA" w:rsidRPr="006249E4" w:rsidRDefault="00966B1A" w:rsidP="00D221EA">
            <w:pPr>
              <w:rPr>
                <w:color w:val="262626" w:themeColor="text1" w:themeTint="D9"/>
              </w:rPr>
            </w:pPr>
            <w:r>
              <w:rPr>
                <w:color w:val="262626" w:themeColor="text1" w:themeTint="D9"/>
              </w:rPr>
              <w:t>This section does not apply to an SDA residency agreement.</w:t>
            </w:r>
          </w:p>
        </w:tc>
        <w:tc>
          <w:tcPr>
            <w:tcW w:w="2268" w:type="dxa"/>
          </w:tcPr>
          <w:p w14:paraId="70CD2240" w14:textId="7BEBFB12" w:rsidR="00D221EA" w:rsidRPr="006249E4" w:rsidRDefault="00536A8B" w:rsidP="00D221EA">
            <w:pPr>
              <w:rPr>
                <w:color w:val="262626" w:themeColor="text1" w:themeTint="D9"/>
              </w:rPr>
            </w:pPr>
            <w:r w:rsidRPr="006249E4">
              <w:rPr>
                <w:color w:val="262626" w:themeColor="text1" w:themeTint="D9"/>
              </w:rPr>
              <w:t xml:space="preserve">Copy of </w:t>
            </w:r>
            <w:r w:rsidR="006E2D17">
              <w:rPr>
                <w:color w:val="262626" w:themeColor="text1" w:themeTint="D9"/>
              </w:rPr>
              <w:t>rental</w:t>
            </w:r>
            <w:r w:rsidRPr="006249E4">
              <w:rPr>
                <w:color w:val="262626" w:themeColor="text1" w:themeTint="D9"/>
              </w:rPr>
              <w:t xml:space="preserve"> agreement</w:t>
            </w:r>
          </w:p>
        </w:tc>
        <w:tc>
          <w:tcPr>
            <w:tcW w:w="2552" w:type="dxa"/>
          </w:tcPr>
          <w:p w14:paraId="08A7D37C" w14:textId="13EF0718" w:rsidR="00D221EA" w:rsidRPr="006249E4" w:rsidRDefault="00D221EA" w:rsidP="002C4CDA">
            <w:pPr>
              <w:rPr>
                <w:color w:val="262626" w:themeColor="text1" w:themeTint="D9"/>
              </w:rPr>
            </w:pPr>
          </w:p>
        </w:tc>
      </w:tr>
      <w:tr w:rsidR="001D60D7" w:rsidRPr="009F5E23" w14:paraId="6AA5EF67" w14:textId="77777777" w:rsidTr="006249E4">
        <w:tc>
          <w:tcPr>
            <w:tcW w:w="3045" w:type="dxa"/>
          </w:tcPr>
          <w:p w14:paraId="6AC7852A" w14:textId="12605C0B" w:rsidR="00966B1A" w:rsidRDefault="00966B1A" w:rsidP="00D221EA">
            <w:pPr>
              <w:rPr>
                <w:color w:val="262626" w:themeColor="text1" w:themeTint="D9"/>
              </w:rPr>
            </w:pPr>
            <w:r>
              <w:rPr>
                <w:color w:val="262626" w:themeColor="text1" w:themeTint="D9"/>
              </w:rPr>
              <w:t xml:space="preserve">Order </w:t>
            </w:r>
            <w:r w:rsidR="002A2458">
              <w:rPr>
                <w:color w:val="262626" w:themeColor="text1" w:themeTint="D9"/>
              </w:rPr>
              <w:t xml:space="preserve">a bond to be paid to the resident if the standard </w:t>
            </w:r>
            <w:r w:rsidR="006E2D17">
              <w:rPr>
                <w:color w:val="262626" w:themeColor="text1" w:themeTint="D9"/>
              </w:rPr>
              <w:t>rental</w:t>
            </w:r>
            <w:r w:rsidR="002A2458">
              <w:rPr>
                <w:color w:val="262626" w:themeColor="text1" w:themeTint="D9"/>
              </w:rPr>
              <w:t xml:space="preserve"> agreement ends.</w:t>
            </w:r>
          </w:p>
        </w:tc>
        <w:tc>
          <w:tcPr>
            <w:tcW w:w="1275" w:type="dxa"/>
          </w:tcPr>
          <w:p w14:paraId="7EAFB7FA" w14:textId="77777777" w:rsidR="00306141" w:rsidRPr="00306141" w:rsidRDefault="00306141" w:rsidP="00306141">
            <w:pPr>
              <w:rPr>
                <w:color w:val="262626" w:themeColor="text1" w:themeTint="D9"/>
              </w:rPr>
            </w:pPr>
            <w:r w:rsidRPr="00306141">
              <w:rPr>
                <w:color w:val="262626" w:themeColor="text1" w:themeTint="D9"/>
              </w:rPr>
              <w:t>91YA</w:t>
            </w:r>
          </w:p>
          <w:p w14:paraId="045AB810" w14:textId="77777777" w:rsidR="002A2458" w:rsidRDefault="002A2458" w:rsidP="00D221EA">
            <w:pPr>
              <w:rPr>
                <w:color w:val="262626" w:themeColor="text1" w:themeTint="D9"/>
              </w:rPr>
            </w:pPr>
          </w:p>
          <w:p w14:paraId="034C8C6E" w14:textId="2753EA06" w:rsidR="002A2458" w:rsidRPr="006249E4" w:rsidRDefault="002A2458" w:rsidP="00D221EA">
            <w:pPr>
              <w:rPr>
                <w:color w:val="262626" w:themeColor="text1" w:themeTint="D9"/>
              </w:rPr>
            </w:pPr>
            <w:r>
              <w:rPr>
                <w:color w:val="262626" w:themeColor="text1" w:themeTint="D9"/>
              </w:rPr>
              <w:t>This section does not apply to an SDA residency agreement.</w:t>
            </w:r>
          </w:p>
        </w:tc>
        <w:tc>
          <w:tcPr>
            <w:tcW w:w="2268" w:type="dxa"/>
          </w:tcPr>
          <w:p w14:paraId="2AB4084B" w14:textId="77777777" w:rsidR="00966B1A" w:rsidRPr="006249E4" w:rsidRDefault="00966B1A" w:rsidP="00D221EA">
            <w:pPr>
              <w:rPr>
                <w:color w:val="262626" w:themeColor="text1" w:themeTint="D9"/>
              </w:rPr>
            </w:pPr>
          </w:p>
        </w:tc>
        <w:tc>
          <w:tcPr>
            <w:tcW w:w="2552" w:type="dxa"/>
          </w:tcPr>
          <w:p w14:paraId="57AEDECB" w14:textId="77777777" w:rsidR="00966B1A" w:rsidRPr="006249E4" w:rsidRDefault="00966B1A" w:rsidP="002C4CDA">
            <w:pPr>
              <w:rPr>
                <w:color w:val="262626" w:themeColor="text1" w:themeTint="D9"/>
              </w:rPr>
            </w:pPr>
          </w:p>
        </w:tc>
      </w:tr>
      <w:tr w:rsidR="001D60D7" w:rsidRPr="009F5E23" w14:paraId="72C49BB1" w14:textId="77777777" w:rsidTr="006249E4">
        <w:trPr>
          <w:cnfStyle w:val="000000100000" w:firstRow="0" w:lastRow="0" w:firstColumn="0" w:lastColumn="0" w:oddVBand="0" w:evenVBand="0" w:oddHBand="1" w:evenHBand="0" w:firstRowFirstColumn="0" w:firstRowLastColumn="0" w:lastRowFirstColumn="0" w:lastRowLastColumn="0"/>
        </w:trPr>
        <w:tc>
          <w:tcPr>
            <w:tcW w:w="3045" w:type="dxa"/>
          </w:tcPr>
          <w:p w14:paraId="46D15496" w14:textId="15B7CBEB" w:rsidR="002A2458" w:rsidRDefault="002A2458" w:rsidP="00D221EA">
            <w:pPr>
              <w:rPr>
                <w:color w:val="262626" w:themeColor="text1" w:themeTint="D9"/>
              </w:rPr>
            </w:pPr>
            <w:r>
              <w:rPr>
                <w:color w:val="262626" w:themeColor="text1" w:themeTint="D9"/>
              </w:rPr>
              <w:t xml:space="preserve">Cancel a compensation order made against the resident if the standard </w:t>
            </w:r>
            <w:r w:rsidR="006E2D17">
              <w:rPr>
                <w:color w:val="262626" w:themeColor="text1" w:themeTint="D9"/>
              </w:rPr>
              <w:t>rental</w:t>
            </w:r>
            <w:r>
              <w:rPr>
                <w:color w:val="262626" w:themeColor="text1" w:themeTint="D9"/>
              </w:rPr>
              <w:t xml:space="preserve"> agreement ends.</w:t>
            </w:r>
          </w:p>
        </w:tc>
        <w:tc>
          <w:tcPr>
            <w:tcW w:w="1275" w:type="dxa"/>
          </w:tcPr>
          <w:p w14:paraId="3631DAF2" w14:textId="77777777" w:rsidR="00306141" w:rsidRPr="00306141" w:rsidRDefault="00306141" w:rsidP="00306141">
            <w:pPr>
              <w:rPr>
                <w:color w:val="262626" w:themeColor="text1" w:themeTint="D9"/>
              </w:rPr>
            </w:pPr>
            <w:r w:rsidRPr="00306141">
              <w:rPr>
                <w:color w:val="262626" w:themeColor="text1" w:themeTint="D9"/>
              </w:rPr>
              <w:t>91YA</w:t>
            </w:r>
          </w:p>
          <w:p w14:paraId="34EBE399" w14:textId="77777777" w:rsidR="002A2458" w:rsidRDefault="002A2458" w:rsidP="002A2458">
            <w:pPr>
              <w:rPr>
                <w:color w:val="262626" w:themeColor="text1" w:themeTint="D9"/>
              </w:rPr>
            </w:pPr>
          </w:p>
          <w:p w14:paraId="67A6E97D" w14:textId="588726E4" w:rsidR="002A2458" w:rsidRDefault="002A2458" w:rsidP="002A2458">
            <w:pPr>
              <w:rPr>
                <w:color w:val="262626" w:themeColor="text1" w:themeTint="D9"/>
              </w:rPr>
            </w:pPr>
            <w:r>
              <w:rPr>
                <w:color w:val="262626" w:themeColor="text1" w:themeTint="D9"/>
              </w:rPr>
              <w:t>This section does not apply to an SDA residency agreement.</w:t>
            </w:r>
          </w:p>
        </w:tc>
        <w:tc>
          <w:tcPr>
            <w:tcW w:w="2268" w:type="dxa"/>
          </w:tcPr>
          <w:p w14:paraId="095848F0" w14:textId="77777777" w:rsidR="002A2458" w:rsidRPr="006249E4" w:rsidRDefault="002A2458" w:rsidP="00D221EA">
            <w:pPr>
              <w:rPr>
                <w:color w:val="262626" w:themeColor="text1" w:themeTint="D9"/>
              </w:rPr>
            </w:pPr>
          </w:p>
        </w:tc>
        <w:tc>
          <w:tcPr>
            <w:tcW w:w="2552" w:type="dxa"/>
          </w:tcPr>
          <w:p w14:paraId="1AF2E194" w14:textId="77777777" w:rsidR="002A2458" w:rsidRPr="006249E4" w:rsidRDefault="002A2458" w:rsidP="002C4CDA">
            <w:pPr>
              <w:rPr>
                <w:color w:val="262626" w:themeColor="text1" w:themeTint="D9"/>
              </w:rPr>
            </w:pPr>
          </w:p>
        </w:tc>
      </w:tr>
      <w:tr w:rsidR="001D60D7" w:rsidRPr="009F5E23" w14:paraId="51A5E1B2" w14:textId="77777777" w:rsidTr="006249E4">
        <w:tc>
          <w:tcPr>
            <w:tcW w:w="3045" w:type="dxa"/>
          </w:tcPr>
          <w:p w14:paraId="3A7D308F" w14:textId="51D9F9B9" w:rsidR="00D221EA" w:rsidRPr="006249E4" w:rsidRDefault="00182B7D" w:rsidP="006249E4">
            <w:pPr>
              <w:widowControl/>
              <w:autoSpaceDE/>
              <w:autoSpaceDN/>
              <w:spacing w:after="160" w:line="259" w:lineRule="auto"/>
              <w:contextualSpacing/>
              <w:rPr>
                <w:color w:val="262626" w:themeColor="text1" w:themeTint="D9"/>
              </w:rPr>
            </w:pPr>
            <w:r>
              <w:rPr>
                <w:color w:val="262626" w:themeColor="text1" w:themeTint="D9"/>
              </w:rPr>
              <w:t>Determine whether the</w:t>
            </w:r>
            <w:r w:rsidR="00A6083B" w:rsidRPr="006249E4">
              <w:rPr>
                <w:color w:val="262626" w:themeColor="text1" w:themeTint="D9"/>
              </w:rPr>
              <w:t xml:space="preserve"> resident has abandoned the dwelling</w:t>
            </w:r>
            <w:r>
              <w:rPr>
                <w:color w:val="262626" w:themeColor="text1" w:themeTint="D9"/>
              </w:rPr>
              <w:t xml:space="preserve"> so the SDA provider can repossess it</w:t>
            </w:r>
          </w:p>
        </w:tc>
        <w:tc>
          <w:tcPr>
            <w:tcW w:w="1275" w:type="dxa"/>
          </w:tcPr>
          <w:p w14:paraId="6FBCABA6" w14:textId="67937CCA" w:rsidR="00D221EA" w:rsidRPr="006249E4" w:rsidRDefault="00A6083B" w:rsidP="00D221EA">
            <w:pPr>
              <w:rPr>
                <w:color w:val="262626" w:themeColor="text1" w:themeTint="D9"/>
              </w:rPr>
            </w:pPr>
            <w:r w:rsidRPr="006249E4">
              <w:rPr>
                <w:color w:val="262626" w:themeColor="text1" w:themeTint="D9"/>
              </w:rPr>
              <w:t>498ZWA</w:t>
            </w:r>
          </w:p>
        </w:tc>
        <w:tc>
          <w:tcPr>
            <w:tcW w:w="2268" w:type="dxa"/>
          </w:tcPr>
          <w:p w14:paraId="3411E702" w14:textId="77777777" w:rsidR="00D221EA" w:rsidRPr="006249E4" w:rsidRDefault="00D221EA" w:rsidP="00D221EA">
            <w:pPr>
              <w:rPr>
                <w:color w:val="262626" w:themeColor="text1" w:themeTint="D9"/>
              </w:rPr>
            </w:pPr>
          </w:p>
        </w:tc>
        <w:tc>
          <w:tcPr>
            <w:tcW w:w="2552" w:type="dxa"/>
          </w:tcPr>
          <w:p w14:paraId="2DD7FA30" w14:textId="40B620D5" w:rsidR="00D221EA" w:rsidRPr="006249E4" w:rsidRDefault="00D221EA" w:rsidP="00D221EA">
            <w:pPr>
              <w:rPr>
                <w:color w:val="262626" w:themeColor="text1" w:themeTint="D9"/>
              </w:rPr>
            </w:pPr>
          </w:p>
        </w:tc>
      </w:tr>
      <w:tr w:rsidR="001D60D7" w:rsidRPr="009F5E23" w14:paraId="5F3D5F5D" w14:textId="77777777" w:rsidTr="006249E4">
        <w:trPr>
          <w:cnfStyle w:val="000000100000" w:firstRow="0" w:lastRow="0" w:firstColumn="0" w:lastColumn="0" w:oddVBand="0" w:evenVBand="0" w:oddHBand="1" w:evenHBand="0" w:firstRowFirstColumn="0" w:firstRowLastColumn="0" w:lastRowFirstColumn="0" w:lastRowLastColumn="0"/>
        </w:trPr>
        <w:tc>
          <w:tcPr>
            <w:tcW w:w="3045" w:type="dxa"/>
          </w:tcPr>
          <w:p w14:paraId="79DF0455" w14:textId="47A9B7EA" w:rsidR="00A6083B" w:rsidRPr="006249E4" w:rsidRDefault="00AA0BA9" w:rsidP="006249E4">
            <w:pPr>
              <w:widowControl/>
              <w:autoSpaceDE/>
              <w:autoSpaceDN/>
              <w:spacing w:after="160" w:line="259" w:lineRule="auto"/>
              <w:contextualSpacing/>
              <w:rPr>
                <w:color w:val="262626" w:themeColor="text1" w:themeTint="D9"/>
              </w:rPr>
            </w:pPr>
            <w:r>
              <w:rPr>
                <w:color w:val="262626" w:themeColor="text1" w:themeTint="D9"/>
              </w:rPr>
              <w:t>Make a p</w:t>
            </w:r>
            <w:r w:rsidR="00A6083B" w:rsidRPr="006249E4">
              <w:rPr>
                <w:color w:val="262626" w:themeColor="text1" w:themeTint="D9"/>
              </w:rPr>
              <w:t>ossession order for</w:t>
            </w:r>
            <w:r w:rsidR="00182B7D">
              <w:rPr>
                <w:color w:val="262626" w:themeColor="text1" w:themeTint="D9"/>
              </w:rPr>
              <w:t xml:space="preserve"> any of the following</w:t>
            </w:r>
            <w:r w:rsidR="00A6083B" w:rsidRPr="006249E4">
              <w:rPr>
                <w:color w:val="262626" w:themeColor="text1" w:themeTint="D9"/>
              </w:rPr>
              <w:t>:</w:t>
            </w:r>
          </w:p>
          <w:p w14:paraId="7BB63220" w14:textId="77777777" w:rsidR="00A6083B" w:rsidRPr="006249E4" w:rsidRDefault="00A6083B" w:rsidP="006249E4">
            <w:pPr>
              <w:pStyle w:val="ListParagraph"/>
              <w:widowControl/>
              <w:numPr>
                <w:ilvl w:val="1"/>
                <w:numId w:val="17"/>
              </w:numPr>
              <w:autoSpaceDE/>
              <w:autoSpaceDN/>
              <w:spacing w:before="0" w:after="160" w:line="259" w:lineRule="auto"/>
              <w:ind w:left="462"/>
              <w:contextualSpacing/>
              <w:rPr>
                <w:color w:val="262626" w:themeColor="text1" w:themeTint="D9"/>
              </w:rPr>
            </w:pPr>
            <w:r w:rsidRPr="006249E4">
              <w:rPr>
                <w:color w:val="262626" w:themeColor="text1" w:themeTint="D9"/>
              </w:rPr>
              <w:t>unpaid rent</w:t>
            </w:r>
          </w:p>
          <w:p w14:paraId="17AE0291" w14:textId="4382F7E7" w:rsidR="00A6083B" w:rsidRPr="006249E4" w:rsidRDefault="00A6083B" w:rsidP="006249E4">
            <w:pPr>
              <w:pStyle w:val="ListParagraph"/>
              <w:widowControl/>
              <w:numPr>
                <w:ilvl w:val="1"/>
                <w:numId w:val="17"/>
              </w:numPr>
              <w:autoSpaceDE/>
              <w:autoSpaceDN/>
              <w:spacing w:before="0" w:after="160" w:line="259" w:lineRule="auto"/>
              <w:ind w:left="462"/>
              <w:contextualSpacing/>
              <w:rPr>
                <w:color w:val="262626" w:themeColor="text1" w:themeTint="D9"/>
              </w:rPr>
            </w:pPr>
            <w:r w:rsidRPr="006249E4">
              <w:rPr>
                <w:color w:val="262626" w:themeColor="text1" w:themeTint="D9"/>
              </w:rPr>
              <w:t xml:space="preserve">endangering the safety of other residents </w:t>
            </w:r>
            <w:r w:rsidR="002A2458">
              <w:rPr>
                <w:color w:val="262626" w:themeColor="text1" w:themeTint="D9"/>
              </w:rPr>
              <w:t>or</w:t>
            </w:r>
            <w:r w:rsidRPr="006249E4">
              <w:rPr>
                <w:color w:val="262626" w:themeColor="text1" w:themeTint="D9"/>
              </w:rPr>
              <w:t xml:space="preserve"> staff</w:t>
            </w:r>
          </w:p>
          <w:p w14:paraId="2FC2867D" w14:textId="401C8917" w:rsidR="00E21025" w:rsidRDefault="00A6083B" w:rsidP="006249E4">
            <w:pPr>
              <w:pStyle w:val="ListParagraph"/>
              <w:widowControl/>
              <w:numPr>
                <w:ilvl w:val="1"/>
                <w:numId w:val="17"/>
              </w:numPr>
              <w:autoSpaceDE/>
              <w:autoSpaceDN/>
              <w:spacing w:before="0" w:after="160" w:line="259" w:lineRule="auto"/>
              <w:ind w:left="462"/>
              <w:contextualSpacing/>
              <w:rPr>
                <w:color w:val="262626" w:themeColor="text1" w:themeTint="D9"/>
              </w:rPr>
            </w:pPr>
            <w:bookmarkStart w:id="1" w:name="_Hlk18919188"/>
            <w:r w:rsidRPr="006249E4">
              <w:rPr>
                <w:color w:val="262626" w:themeColor="text1" w:themeTint="D9"/>
              </w:rPr>
              <w:t xml:space="preserve">causing </w:t>
            </w:r>
            <w:r w:rsidR="00E21025">
              <w:rPr>
                <w:color w:val="262626" w:themeColor="text1" w:themeTint="D9"/>
              </w:rPr>
              <w:t xml:space="preserve">serious </w:t>
            </w:r>
            <w:r w:rsidRPr="006249E4">
              <w:rPr>
                <w:color w:val="262626" w:themeColor="text1" w:themeTint="D9"/>
              </w:rPr>
              <w:lastRenderedPageBreak/>
              <w:t xml:space="preserve">disruption </w:t>
            </w:r>
            <w:r w:rsidR="00E21025">
              <w:rPr>
                <w:color w:val="262626" w:themeColor="text1" w:themeTint="D9"/>
              </w:rPr>
              <w:t xml:space="preserve">to </w:t>
            </w:r>
            <w:r w:rsidR="003A2384">
              <w:rPr>
                <w:color w:val="262626" w:themeColor="text1" w:themeTint="D9"/>
              </w:rPr>
              <w:t xml:space="preserve">the </w:t>
            </w:r>
            <w:r w:rsidR="00E21025">
              <w:rPr>
                <w:color w:val="262626" w:themeColor="text1" w:themeTint="D9"/>
              </w:rPr>
              <w:t xml:space="preserve">proper use and enjoyment </w:t>
            </w:r>
            <w:r w:rsidR="003A2384">
              <w:rPr>
                <w:color w:val="262626" w:themeColor="text1" w:themeTint="D9"/>
              </w:rPr>
              <w:t xml:space="preserve">of the property </w:t>
            </w:r>
            <w:r w:rsidR="00E21025">
              <w:rPr>
                <w:color w:val="262626" w:themeColor="text1" w:themeTint="D9"/>
              </w:rPr>
              <w:t>by other residents</w:t>
            </w:r>
          </w:p>
          <w:bookmarkEnd w:id="1"/>
          <w:p w14:paraId="09A541C8" w14:textId="204BF3E3" w:rsidR="00A6083B" w:rsidRDefault="00E21025" w:rsidP="006249E4">
            <w:pPr>
              <w:pStyle w:val="ListParagraph"/>
              <w:widowControl/>
              <w:numPr>
                <w:ilvl w:val="1"/>
                <w:numId w:val="17"/>
              </w:numPr>
              <w:autoSpaceDE/>
              <w:autoSpaceDN/>
              <w:spacing w:before="0" w:after="160" w:line="259" w:lineRule="auto"/>
              <w:ind w:left="462"/>
              <w:contextualSpacing/>
              <w:rPr>
                <w:color w:val="262626" w:themeColor="text1" w:themeTint="D9"/>
              </w:rPr>
            </w:pPr>
            <w:r>
              <w:rPr>
                <w:color w:val="262626" w:themeColor="text1" w:themeTint="D9"/>
              </w:rPr>
              <w:t xml:space="preserve">causing </w:t>
            </w:r>
            <w:r w:rsidR="00A6083B" w:rsidRPr="006249E4">
              <w:rPr>
                <w:color w:val="262626" w:themeColor="text1" w:themeTint="D9"/>
              </w:rPr>
              <w:t>serious damage to the dwelling</w:t>
            </w:r>
          </w:p>
          <w:p w14:paraId="1CD7FC05" w14:textId="16378C44" w:rsidR="00E21025" w:rsidRPr="006249E4" w:rsidRDefault="00D01107" w:rsidP="006249E4">
            <w:pPr>
              <w:pStyle w:val="ListParagraph"/>
              <w:widowControl/>
              <w:numPr>
                <w:ilvl w:val="1"/>
                <w:numId w:val="17"/>
              </w:numPr>
              <w:autoSpaceDE/>
              <w:autoSpaceDN/>
              <w:spacing w:before="0" w:after="160" w:line="259" w:lineRule="auto"/>
              <w:ind w:left="462"/>
              <w:contextualSpacing/>
              <w:rPr>
                <w:color w:val="262626" w:themeColor="text1" w:themeTint="D9"/>
              </w:rPr>
            </w:pPr>
            <w:r>
              <w:rPr>
                <w:color w:val="262626" w:themeColor="text1" w:themeTint="D9"/>
              </w:rPr>
              <w:t>resident is a danger to self or can no longer be properly supported</w:t>
            </w:r>
          </w:p>
          <w:p w14:paraId="6150551A" w14:textId="77777777" w:rsidR="00A6083B" w:rsidRPr="006249E4" w:rsidRDefault="00A6083B" w:rsidP="006249E4">
            <w:pPr>
              <w:pStyle w:val="ListParagraph"/>
              <w:widowControl/>
              <w:numPr>
                <w:ilvl w:val="1"/>
                <w:numId w:val="17"/>
              </w:numPr>
              <w:autoSpaceDE/>
              <w:autoSpaceDN/>
              <w:spacing w:before="0" w:after="160" w:line="259" w:lineRule="auto"/>
              <w:ind w:left="462"/>
              <w:contextualSpacing/>
              <w:rPr>
                <w:color w:val="262626" w:themeColor="text1" w:themeTint="D9"/>
              </w:rPr>
            </w:pPr>
            <w:r w:rsidRPr="006249E4">
              <w:rPr>
                <w:color w:val="262626" w:themeColor="text1" w:themeTint="D9"/>
              </w:rPr>
              <w:t>using the dwelling for illegal purposes,</w:t>
            </w:r>
          </w:p>
          <w:p w14:paraId="61DDA1B5" w14:textId="1537F383" w:rsidR="00A6083B" w:rsidRPr="006249E4" w:rsidRDefault="00A6083B" w:rsidP="006249E4">
            <w:pPr>
              <w:pStyle w:val="ListParagraph"/>
              <w:widowControl/>
              <w:numPr>
                <w:ilvl w:val="1"/>
                <w:numId w:val="17"/>
              </w:numPr>
              <w:autoSpaceDE/>
              <w:autoSpaceDN/>
              <w:spacing w:before="0" w:after="160" w:line="259" w:lineRule="auto"/>
              <w:ind w:left="462"/>
              <w:contextualSpacing/>
              <w:rPr>
                <w:color w:val="262626" w:themeColor="text1" w:themeTint="D9"/>
              </w:rPr>
            </w:pPr>
            <w:r w:rsidRPr="006249E4">
              <w:rPr>
                <w:color w:val="262626" w:themeColor="text1" w:themeTint="D9"/>
              </w:rPr>
              <w:t>renovat</w:t>
            </w:r>
            <w:r w:rsidR="00D01107">
              <w:rPr>
                <w:color w:val="262626" w:themeColor="text1" w:themeTint="D9"/>
              </w:rPr>
              <w:t>ing</w:t>
            </w:r>
            <w:r w:rsidRPr="006249E4">
              <w:rPr>
                <w:color w:val="262626" w:themeColor="text1" w:themeTint="D9"/>
              </w:rPr>
              <w:t>, repairing, demolishing or selling the dwelling</w:t>
            </w:r>
          </w:p>
          <w:p w14:paraId="0E917FBD" w14:textId="51757B5B" w:rsidR="00A6083B" w:rsidRPr="006249E4" w:rsidRDefault="00A6083B" w:rsidP="006249E4">
            <w:pPr>
              <w:pStyle w:val="ListParagraph"/>
              <w:widowControl/>
              <w:numPr>
                <w:ilvl w:val="1"/>
                <w:numId w:val="17"/>
              </w:numPr>
              <w:autoSpaceDE/>
              <w:autoSpaceDN/>
              <w:spacing w:before="0" w:after="160" w:line="259" w:lineRule="auto"/>
              <w:ind w:left="462"/>
              <w:contextualSpacing/>
              <w:rPr>
                <w:color w:val="262626" w:themeColor="text1" w:themeTint="D9"/>
              </w:rPr>
            </w:pPr>
            <w:r w:rsidRPr="006249E4">
              <w:rPr>
                <w:color w:val="262626" w:themeColor="text1" w:themeTint="D9"/>
              </w:rPr>
              <w:t>failing to comply with a</w:t>
            </w:r>
            <w:r w:rsidR="00D01107">
              <w:rPr>
                <w:color w:val="262626" w:themeColor="text1" w:themeTint="D9"/>
              </w:rPr>
              <w:t xml:space="preserve"> VCAT order</w:t>
            </w:r>
          </w:p>
          <w:p w14:paraId="63D056D5" w14:textId="45EDF5C1" w:rsidR="00D221EA" w:rsidRPr="006249E4" w:rsidRDefault="00A6083B" w:rsidP="006249E4">
            <w:pPr>
              <w:pStyle w:val="ListParagraph"/>
              <w:widowControl/>
              <w:numPr>
                <w:ilvl w:val="1"/>
                <w:numId w:val="17"/>
              </w:numPr>
              <w:autoSpaceDE/>
              <w:autoSpaceDN/>
              <w:spacing w:before="0" w:after="160" w:line="259" w:lineRule="auto"/>
              <w:ind w:left="462"/>
              <w:contextualSpacing/>
              <w:rPr>
                <w:color w:val="262626" w:themeColor="text1" w:themeTint="D9"/>
              </w:rPr>
            </w:pPr>
            <w:r w:rsidRPr="006249E4">
              <w:rPr>
                <w:color w:val="262626" w:themeColor="text1" w:themeTint="D9"/>
              </w:rPr>
              <w:t xml:space="preserve">giving notice of intention to vacate </w:t>
            </w:r>
            <w:r w:rsidR="00D01107">
              <w:rPr>
                <w:color w:val="262626" w:themeColor="text1" w:themeTint="D9"/>
              </w:rPr>
              <w:t>(if</w:t>
            </w:r>
            <w:r w:rsidRPr="006249E4">
              <w:rPr>
                <w:color w:val="262626" w:themeColor="text1" w:themeTint="D9"/>
              </w:rPr>
              <w:t xml:space="preserve"> the resident has not vacated</w:t>
            </w:r>
            <w:r w:rsidR="00D01107">
              <w:rPr>
                <w:color w:val="262626" w:themeColor="text1" w:themeTint="D9"/>
              </w:rPr>
              <w:t>)</w:t>
            </w:r>
          </w:p>
        </w:tc>
        <w:tc>
          <w:tcPr>
            <w:tcW w:w="1275" w:type="dxa"/>
          </w:tcPr>
          <w:p w14:paraId="4AA01C2B" w14:textId="265C5AE0" w:rsidR="00D221EA" w:rsidRPr="006249E4" w:rsidRDefault="00A6083B" w:rsidP="00D221EA">
            <w:pPr>
              <w:rPr>
                <w:color w:val="262626" w:themeColor="text1" w:themeTint="D9"/>
              </w:rPr>
            </w:pPr>
            <w:r w:rsidRPr="006249E4">
              <w:rPr>
                <w:color w:val="262626" w:themeColor="text1" w:themeTint="D9"/>
              </w:rPr>
              <w:lastRenderedPageBreak/>
              <w:t>498ZZE</w:t>
            </w:r>
          </w:p>
        </w:tc>
        <w:tc>
          <w:tcPr>
            <w:tcW w:w="2268" w:type="dxa"/>
          </w:tcPr>
          <w:p w14:paraId="7BB4EB46" w14:textId="37EB91C9" w:rsidR="002A2458" w:rsidRDefault="002A2458" w:rsidP="00536A8B">
            <w:pPr>
              <w:rPr>
                <w:color w:val="262626" w:themeColor="text1" w:themeTint="D9"/>
              </w:rPr>
            </w:pPr>
            <w:r>
              <w:rPr>
                <w:color w:val="262626" w:themeColor="text1" w:themeTint="D9"/>
              </w:rPr>
              <w:t xml:space="preserve">Notice of </w:t>
            </w:r>
            <w:r w:rsidR="00DF207F">
              <w:rPr>
                <w:color w:val="262626" w:themeColor="text1" w:themeTint="D9"/>
              </w:rPr>
              <w:t>t</w:t>
            </w:r>
            <w:r>
              <w:rPr>
                <w:color w:val="262626" w:themeColor="text1" w:themeTint="D9"/>
              </w:rPr>
              <w:t xml:space="preserve">emporary </w:t>
            </w:r>
            <w:r w:rsidR="00DF207F">
              <w:rPr>
                <w:color w:val="262626" w:themeColor="text1" w:themeTint="D9"/>
              </w:rPr>
              <w:t>r</w:t>
            </w:r>
            <w:r>
              <w:rPr>
                <w:color w:val="262626" w:themeColor="text1" w:themeTint="D9"/>
              </w:rPr>
              <w:t>elocation</w:t>
            </w:r>
          </w:p>
          <w:p w14:paraId="41E8D285" w14:textId="77777777" w:rsidR="002A2458" w:rsidRDefault="002A2458" w:rsidP="00536A8B">
            <w:pPr>
              <w:rPr>
                <w:color w:val="262626" w:themeColor="text1" w:themeTint="D9"/>
              </w:rPr>
            </w:pPr>
          </w:p>
          <w:p w14:paraId="283B345F" w14:textId="77D1AD0D" w:rsidR="00536A8B" w:rsidRPr="006249E4" w:rsidRDefault="005F3A96" w:rsidP="00536A8B">
            <w:pPr>
              <w:rPr>
                <w:color w:val="262626" w:themeColor="text1" w:themeTint="D9"/>
              </w:rPr>
            </w:pPr>
            <w:r w:rsidRPr="009F5E23">
              <w:rPr>
                <w:color w:val="262626" w:themeColor="text1" w:themeTint="D9"/>
              </w:rPr>
              <w:t>N</w:t>
            </w:r>
            <w:r w:rsidR="00536A8B" w:rsidRPr="006249E4">
              <w:rPr>
                <w:color w:val="262626" w:themeColor="text1" w:themeTint="D9"/>
              </w:rPr>
              <w:t>otice to vacate</w:t>
            </w:r>
          </w:p>
          <w:p w14:paraId="0254DC9C" w14:textId="77777777" w:rsidR="00536A8B" w:rsidRPr="006249E4" w:rsidRDefault="00536A8B" w:rsidP="00536A8B">
            <w:pPr>
              <w:rPr>
                <w:b/>
                <w:color w:val="262626" w:themeColor="text1" w:themeTint="D9"/>
              </w:rPr>
            </w:pPr>
          </w:p>
          <w:p w14:paraId="1B458002" w14:textId="19E9EE02" w:rsidR="00D221EA" w:rsidRPr="006249E4" w:rsidRDefault="00536A8B" w:rsidP="00536A8B">
            <w:pPr>
              <w:rPr>
                <w:color w:val="262626" w:themeColor="text1" w:themeTint="D9"/>
              </w:rPr>
            </w:pPr>
            <w:r w:rsidRPr="006249E4">
              <w:rPr>
                <w:color w:val="262626" w:themeColor="text1" w:themeTint="D9"/>
              </w:rPr>
              <w:t>Breach of duty notice</w:t>
            </w:r>
          </w:p>
          <w:p w14:paraId="3E5C8257" w14:textId="77777777" w:rsidR="00536A8B" w:rsidRPr="006249E4" w:rsidRDefault="00536A8B" w:rsidP="00536A8B">
            <w:pPr>
              <w:rPr>
                <w:color w:val="262626" w:themeColor="text1" w:themeTint="D9"/>
              </w:rPr>
            </w:pPr>
          </w:p>
          <w:p w14:paraId="2FAAE4CD" w14:textId="77777777" w:rsidR="00536A8B" w:rsidRPr="006249E4" w:rsidRDefault="00536A8B" w:rsidP="00536A8B">
            <w:pPr>
              <w:rPr>
                <w:color w:val="262626" w:themeColor="text1" w:themeTint="D9"/>
              </w:rPr>
            </w:pPr>
            <w:r w:rsidRPr="006249E4">
              <w:rPr>
                <w:color w:val="262626" w:themeColor="text1" w:themeTint="D9"/>
              </w:rPr>
              <w:lastRenderedPageBreak/>
              <w:t>Tribunal order</w:t>
            </w:r>
          </w:p>
          <w:p w14:paraId="2256BC8D" w14:textId="77777777" w:rsidR="00536A8B" w:rsidRPr="006249E4" w:rsidRDefault="00536A8B" w:rsidP="00536A8B">
            <w:pPr>
              <w:rPr>
                <w:color w:val="262626" w:themeColor="text1" w:themeTint="D9"/>
              </w:rPr>
            </w:pPr>
          </w:p>
          <w:p w14:paraId="7B6581F2" w14:textId="748C3095" w:rsidR="00536A8B" w:rsidRPr="006249E4" w:rsidRDefault="00536A8B" w:rsidP="00536A8B">
            <w:pPr>
              <w:rPr>
                <w:color w:val="262626" w:themeColor="text1" w:themeTint="D9"/>
              </w:rPr>
            </w:pPr>
            <w:r w:rsidRPr="006249E4">
              <w:rPr>
                <w:color w:val="262626" w:themeColor="text1" w:themeTint="D9"/>
              </w:rPr>
              <w:t>Notice of intention to vacate</w:t>
            </w:r>
          </w:p>
        </w:tc>
        <w:tc>
          <w:tcPr>
            <w:tcW w:w="2552" w:type="dxa"/>
          </w:tcPr>
          <w:p w14:paraId="00372970" w14:textId="4FA59071" w:rsidR="00D221EA" w:rsidRPr="006249E4" w:rsidRDefault="00182B7D" w:rsidP="00D221EA">
            <w:pPr>
              <w:rPr>
                <w:color w:val="262626" w:themeColor="text1" w:themeTint="D9"/>
              </w:rPr>
            </w:pPr>
            <w:r>
              <w:rPr>
                <w:color w:val="262626" w:themeColor="text1" w:themeTint="D9"/>
              </w:rPr>
              <w:lastRenderedPageBreak/>
              <w:t>Apply no</w:t>
            </w:r>
            <w:r w:rsidR="00482E87" w:rsidRPr="006249E4">
              <w:rPr>
                <w:color w:val="262626" w:themeColor="text1" w:themeTint="D9"/>
              </w:rPr>
              <w:t xml:space="preserve"> later than 30 days after the termination date </w:t>
            </w:r>
            <w:r>
              <w:rPr>
                <w:color w:val="262626" w:themeColor="text1" w:themeTint="D9"/>
              </w:rPr>
              <w:t>on</w:t>
            </w:r>
            <w:r w:rsidR="00482E87" w:rsidRPr="006249E4">
              <w:rPr>
                <w:color w:val="262626" w:themeColor="text1" w:themeTint="D9"/>
              </w:rPr>
              <w:t xml:space="preserve"> the notice to vacate</w:t>
            </w:r>
            <w:r w:rsidR="00DE7E5F" w:rsidRPr="009F5E23">
              <w:rPr>
                <w:color w:val="262626" w:themeColor="text1" w:themeTint="D9"/>
              </w:rPr>
              <w:t>.</w:t>
            </w:r>
          </w:p>
        </w:tc>
      </w:tr>
      <w:tr w:rsidR="001D60D7" w:rsidRPr="009F5E23" w14:paraId="67EC4D5F" w14:textId="77777777" w:rsidTr="006249E4">
        <w:tc>
          <w:tcPr>
            <w:tcW w:w="3045" w:type="dxa"/>
          </w:tcPr>
          <w:p w14:paraId="3945287D" w14:textId="529932B8" w:rsidR="00D221EA" w:rsidRPr="006249E4" w:rsidRDefault="00AA0BA9" w:rsidP="006249E4">
            <w:pPr>
              <w:widowControl/>
              <w:autoSpaceDE/>
              <w:autoSpaceDN/>
              <w:spacing w:after="160" w:line="259" w:lineRule="auto"/>
              <w:contextualSpacing/>
              <w:rPr>
                <w:color w:val="262626" w:themeColor="text1" w:themeTint="D9"/>
              </w:rPr>
            </w:pPr>
            <w:r>
              <w:rPr>
                <w:color w:val="262626" w:themeColor="text1" w:themeTint="D9"/>
              </w:rPr>
              <w:t>Make a p</w:t>
            </w:r>
            <w:r w:rsidR="00A6083B" w:rsidRPr="006249E4">
              <w:rPr>
                <w:color w:val="262626" w:themeColor="text1" w:themeTint="D9"/>
              </w:rPr>
              <w:t xml:space="preserve">ossession order </w:t>
            </w:r>
            <w:r>
              <w:rPr>
                <w:color w:val="262626" w:themeColor="text1" w:themeTint="D9"/>
              </w:rPr>
              <w:t>(and I am the mortgagee)</w:t>
            </w:r>
          </w:p>
        </w:tc>
        <w:tc>
          <w:tcPr>
            <w:tcW w:w="1275" w:type="dxa"/>
          </w:tcPr>
          <w:p w14:paraId="2D2F13BC" w14:textId="2866202D" w:rsidR="00D221EA" w:rsidRPr="006249E4" w:rsidRDefault="00A6083B" w:rsidP="00D221EA">
            <w:pPr>
              <w:rPr>
                <w:color w:val="262626" w:themeColor="text1" w:themeTint="D9"/>
              </w:rPr>
            </w:pPr>
            <w:r w:rsidRPr="006249E4">
              <w:rPr>
                <w:color w:val="262626" w:themeColor="text1" w:themeTint="D9"/>
              </w:rPr>
              <w:t>498ZZF</w:t>
            </w:r>
          </w:p>
        </w:tc>
        <w:tc>
          <w:tcPr>
            <w:tcW w:w="2268" w:type="dxa"/>
          </w:tcPr>
          <w:p w14:paraId="3EF29861" w14:textId="47A432E7" w:rsidR="00033AE4" w:rsidRDefault="00A95700" w:rsidP="00D221EA">
            <w:pPr>
              <w:rPr>
                <w:color w:val="262626" w:themeColor="text1" w:themeTint="D9"/>
              </w:rPr>
            </w:pPr>
            <w:r w:rsidRPr="009F5E23">
              <w:rPr>
                <w:color w:val="262626" w:themeColor="text1" w:themeTint="D9"/>
              </w:rPr>
              <w:t>N</w:t>
            </w:r>
            <w:r w:rsidR="00536A8B" w:rsidRPr="006249E4">
              <w:rPr>
                <w:color w:val="262626" w:themeColor="text1" w:themeTint="D9"/>
              </w:rPr>
              <w:t xml:space="preserve">otice to vacate </w:t>
            </w:r>
          </w:p>
          <w:p w14:paraId="705B22FB" w14:textId="77777777" w:rsidR="00033AE4" w:rsidRDefault="00033AE4" w:rsidP="00D221EA">
            <w:pPr>
              <w:rPr>
                <w:color w:val="262626" w:themeColor="text1" w:themeTint="D9"/>
              </w:rPr>
            </w:pPr>
          </w:p>
          <w:p w14:paraId="0214EDD0" w14:textId="01418FEE" w:rsidR="00D221EA" w:rsidRPr="006249E4" w:rsidRDefault="00033AE4" w:rsidP="00D221EA">
            <w:pPr>
              <w:rPr>
                <w:color w:val="262626" w:themeColor="text1" w:themeTint="D9"/>
              </w:rPr>
            </w:pPr>
            <w:r>
              <w:rPr>
                <w:color w:val="262626" w:themeColor="text1" w:themeTint="D9"/>
              </w:rPr>
              <w:t>C</w:t>
            </w:r>
            <w:r w:rsidR="00536A8B" w:rsidRPr="006249E4">
              <w:rPr>
                <w:color w:val="262626" w:themeColor="text1" w:themeTint="D9"/>
              </w:rPr>
              <w:t>opy of any court order which shows the mortgagee's entitlement to possession and to exercise a power of sale.</w:t>
            </w:r>
          </w:p>
        </w:tc>
        <w:tc>
          <w:tcPr>
            <w:tcW w:w="2552" w:type="dxa"/>
          </w:tcPr>
          <w:p w14:paraId="77F40838" w14:textId="3B105638" w:rsidR="00D221EA" w:rsidRPr="006249E4" w:rsidRDefault="00D221EA" w:rsidP="00D221EA">
            <w:pPr>
              <w:rPr>
                <w:color w:val="262626" w:themeColor="text1" w:themeTint="D9"/>
              </w:rPr>
            </w:pPr>
          </w:p>
        </w:tc>
      </w:tr>
      <w:tr w:rsidR="001D60D7" w:rsidRPr="009F5E23" w14:paraId="4468802E" w14:textId="77777777" w:rsidTr="006249E4">
        <w:trPr>
          <w:cnfStyle w:val="000000100000" w:firstRow="0" w:lastRow="0" w:firstColumn="0" w:lastColumn="0" w:oddVBand="0" w:evenVBand="0" w:oddHBand="1" w:evenHBand="0" w:firstRowFirstColumn="0" w:firstRowLastColumn="0" w:lastRowFirstColumn="0" w:lastRowLastColumn="0"/>
        </w:trPr>
        <w:tc>
          <w:tcPr>
            <w:tcW w:w="3045" w:type="dxa"/>
          </w:tcPr>
          <w:p w14:paraId="6F611E2F" w14:textId="2CEA0B0B" w:rsidR="00D221EA" w:rsidRPr="006249E4" w:rsidRDefault="00033AE4" w:rsidP="006249E4">
            <w:pPr>
              <w:widowControl/>
              <w:autoSpaceDE/>
              <w:autoSpaceDN/>
              <w:spacing w:after="160" w:line="259" w:lineRule="auto"/>
              <w:contextualSpacing/>
              <w:rPr>
                <w:color w:val="262626" w:themeColor="text1" w:themeTint="D9"/>
              </w:rPr>
            </w:pPr>
            <w:r>
              <w:rPr>
                <w:color w:val="262626" w:themeColor="text1" w:themeTint="D9"/>
              </w:rPr>
              <w:t>Determine whether a</w:t>
            </w:r>
            <w:r w:rsidR="00FF561D" w:rsidRPr="009F5E23">
              <w:rPr>
                <w:color w:val="262626" w:themeColor="text1" w:themeTint="D9"/>
              </w:rPr>
              <w:t xml:space="preserve"> term in </w:t>
            </w:r>
            <w:r w:rsidR="00A6083B" w:rsidRPr="006249E4">
              <w:rPr>
                <w:color w:val="262626" w:themeColor="text1" w:themeTint="D9"/>
              </w:rPr>
              <w:t xml:space="preserve">the </w:t>
            </w:r>
            <w:r w:rsidR="006E2D17">
              <w:rPr>
                <w:color w:val="262626" w:themeColor="text1" w:themeTint="D9"/>
              </w:rPr>
              <w:t>SDA residency agreement</w:t>
            </w:r>
            <w:r w:rsidR="00A6083B" w:rsidRPr="006249E4">
              <w:rPr>
                <w:color w:val="262626" w:themeColor="text1" w:themeTint="D9"/>
              </w:rPr>
              <w:t xml:space="preserve"> is harsh or </w:t>
            </w:r>
            <w:r w:rsidR="009F302C">
              <w:rPr>
                <w:color w:val="262626" w:themeColor="text1" w:themeTint="D9"/>
              </w:rPr>
              <w:t>unreasonable</w:t>
            </w:r>
          </w:p>
        </w:tc>
        <w:tc>
          <w:tcPr>
            <w:tcW w:w="1275" w:type="dxa"/>
          </w:tcPr>
          <w:p w14:paraId="7BCFE7C2" w14:textId="377AC246" w:rsidR="00D221EA" w:rsidRPr="006249E4" w:rsidRDefault="00A6083B" w:rsidP="00D221EA">
            <w:pPr>
              <w:rPr>
                <w:color w:val="262626" w:themeColor="text1" w:themeTint="D9"/>
              </w:rPr>
            </w:pPr>
            <w:r w:rsidRPr="006249E4">
              <w:rPr>
                <w:color w:val="262626" w:themeColor="text1" w:themeTint="D9"/>
              </w:rPr>
              <w:t>498L</w:t>
            </w:r>
          </w:p>
        </w:tc>
        <w:tc>
          <w:tcPr>
            <w:tcW w:w="2268" w:type="dxa"/>
          </w:tcPr>
          <w:p w14:paraId="71FAF2E3" w14:textId="21D7F03A" w:rsidR="00D221EA" w:rsidRPr="006249E4" w:rsidRDefault="00536A8B" w:rsidP="00D221EA">
            <w:pPr>
              <w:rPr>
                <w:color w:val="262626" w:themeColor="text1" w:themeTint="D9"/>
              </w:rPr>
            </w:pPr>
            <w:r w:rsidRPr="006249E4">
              <w:rPr>
                <w:color w:val="262626" w:themeColor="text1" w:themeTint="D9"/>
              </w:rPr>
              <w:t>SDA residency agreement</w:t>
            </w:r>
          </w:p>
        </w:tc>
        <w:tc>
          <w:tcPr>
            <w:tcW w:w="2552" w:type="dxa"/>
          </w:tcPr>
          <w:p w14:paraId="4344E095" w14:textId="77777777" w:rsidR="00D221EA" w:rsidRPr="006249E4" w:rsidRDefault="00D221EA" w:rsidP="00D221EA">
            <w:pPr>
              <w:rPr>
                <w:color w:val="262626" w:themeColor="text1" w:themeTint="D9"/>
              </w:rPr>
            </w:pPr>
          </w:p>
        </w:tc>
      </w:tr>
      <w:tr w:rsidR="001D60D7" w:rsidRPr="009F5E23" w14:paraId="55BFD6B4" w14:textId="77777777" w:rsidTr="006249E4">
        <w:tc>
          <w:tcPr>
            <w:tcW w:w="3045" w:type="dxa"/>
          </w:tcPr>
          <w:p w14:paraId="780A4C8F" w14:textId="5A1EB196" w:rsidR="00D221EA" w:rsidRPr="006249E4" w:rsidRDefault="00AA0BA9" w:rsidP="00D221EA">
            <w:pPr>
              <w:rPr>
                <w:color w:val="262626" w:themeColor="text1" w:themeTint="D9"/>
              </w:rPr>
            </w:pPr>
            <w:r>
              <w:rPr>
                <w:color w:val="262626" w:themeColor="text1" w:themeTint="D9"/>
              </w:rPr>
              <w:t>O</w:t>
            </w:r>
            <w:r w:rsidR="00596BD1">
              <w:rPr>
                <w:color w:val="262626" w:themeColor="text1" w:themeTint="D9"/>
              </w:rPr>
              <w:t>rder</w:t>
            </w:r>
            <w:r w:rsidR="00033AE4">
              <w:rPr>
                <w:color w:val="262626" w:themeColor="text1" w:themeTint="D9"/>
              </w:rPr>
              <w:t xml:space="preserve"> u</w:t>
            </w:r>
            <w:r w:rsidR="00A6083B" w:rsidRPr="006249E4">
              <w:rPr>
                <w:color w:val="262626" w:themeColor="text1" w:themeTint="D9"/>
              </w:rPr>
              <w:t>rgent repairs</w:t>
            </w:r>
          </w:p>
        </w:tc>
        <w:tc>
          <w:tcPr>
            <w:tcW w:w="1275" w:type="dxa"/>
          </w:tcPr>
          <w:p w14:paraId="3E2800B6" w14:textId="270DE58D" w:rsidR="00D221EA" w:rsidRPr="006249E4" w:rsidRDefault="00A6083B" w:rsidP="00D221EA">
            <w:pPr>
              <w:rPr>
                <w:color w:val="262626" w:themeColor="text1" w:themeTint="D9"/>
              </w:rPr>
            </w:pPr>
            <w:r w:rsidRPr="006249E4">
              <w:rPr>
                <w:color w:val="262626" w:themeColor="text1" w:themeTint="D9"/>
              </w:rPr>
              <w:t>498P</w:t>
            </w:r>
          </w:p>
        </w:tc>
        <w:tc>
          <w:tcPr>
            <w:tcW w:w="2268" w:type="dxa"/>
          </w:tcPr>
          <w:p w14:paraId="1FB01C36" w14:textId="77777777" w:rsidR="00D221EA" w:rsidRPr="006249E4" w:rsidRDefault="00D221EA" w:rsidP="00D221EA">
            <w:pPr>
              <w:rPr>
                <w:color w:val="262626" w:themeColor="text1" w:themeTint="D9"/>
              </w:rPr>
            </w:pPr>
          </w:p>
        </w:tc>
        <w:tc>
          <w:tcPr>
            <w:tcW w:w="2552" w:type="dxa"/>
          </w:tcPr>
          <w:p w14:paraId="42371224" w14:textId="325817DC" w:rsidR="00D221EA" w:rsidRPr="006249E4" w:rsidRDefault="00D221EA" w:rsidP="00D221EA">
            <w:pPr>
              <w:rPr>
                <w:color w:val="262626" w:themeColor="text1" w:themeTint="D9"/>
              </w:rPr>
            </w:pPr>
          </w:p>
        </w:tc>
      </w:tr>
      <w:tr w:rsidR="001D60D7" w:rsidRPr="009F5E23" w14:paraId="6FCDAC71" w14:textId="77777777" w:rsidTr="006249E4">
        <w:trPr>
          <w:cnfStyle w:val="000000100000" w:firstRow="0" w:lastRow="0" w:firstColumn="0" w:lastColumn="0" w:oddVBand="0" w:evenVBand="0" w:oddHBand="1" w:evenHBand="0" w:firstRowFirstColumn="0" w:firstRowLastColumn="0" w:lastRowFirstColumn="0" w:lastRowLastColumn="0"/>
        </w:trPr>
        <w:tc>
          <w:tcPr>
            <w:tcW w:w="3045" w:type="dxa"/>
          </w:tcPr>
          <w:p w14:paraId="1CB2590E" w14:textId="4E84D02F" w:rsidR="00A6083B" w:rsidRPr="006249E4" w:rsidRDefault="00AA0BA9" w:rsidP="006249E4">
            <w:pPr>
              <w:widowControl/>
              <w:autoSpaceDE/>
              <w:autoSpaceDN/>
              <w:spacing w:after="160" w:line="259" w:lineRule="auto"/>
              <w:contextualSpacing/>
              <w:rPr>
                <w:color w:val="262626" w:themeColor="text1" w:themeTint="D9"/>
              </w:rPr>
            </w:pPr>
            <w:r>
              <w:rPr>
                <w:color w:val="262626" w:themeColor="text1" w:themeTint="D9"/>
              </w:rPr>
              <w:t>O</w:t>
            </w:r>
            <w:r w:rsidR="00596BD1">
              <w:rPr>
                <w:color w:val="262626" w:themeColor="text1" w:themeTint="D9"/>
              </w:rPr>
              <w:t>rder</w:t>
            </w:r>
            <w:r w:rsidR="00E41147">
              <w:rPr>
                <w:color w:val="262626" w:themeColor="text1" w:themeTint="D9"/>
              </w:rPr>
              <w:t xml:space="preserve"> </w:t>
            </w:r>
            <w:r w:rsidR="00A6083B" w:rsidRPr="006249E4">
              <w:rPr>
                <w:color w:val="262626" w:themeColor="text1" w:themeTint="D9"/>
              </w:rPr>
              <w:t>non-urgent repairs</w:t>
            </w:r>
          </w:p>
        </w:tc>
        <w:tc>
          <w:tcPr>
            <w:tcW w:w="1275" w:type="dxa"/>
          </w:tcPr>
          <w:p w14:paraId="010F20AB" w14:textId="4BA8D5A5" w:rsidR="00A6083B" w:rsidRPr="006249E4" w:rsidRDefault="00A6083B" w:rsidP="00D221EA">
            <w:pPr>
              <w:rPr>
                <w:color w:val="262626" w:themeColor="text1" w:themeTint="D9"/>
              </w:rPr>
            </w:pPr>
            <w:r w:rsidRPr="006249E4">
              <w:rPr>
                <w:color w:val="262626" w:themeColor="text1" w:themeTint="D9"/>
              </w:rPr>
              <w:t>498R</w:t>
            </w:r>
          </w:p>
        </w:tc>
        <w:tc>
          <w:tcPr>
            <w:tcW w:w="2268" w:type="dxa"/>
          </w:tcPr>
          <w:p w14:paraId="09EAF5AC" w14:textId="15ADCEB2" w:rsidR="00536A8B" w:rsidRPr="006249E4" w:rsidRDefault="00A20901" w:rsidP="00536A8B">
            <w:pPr>
              <w:rPr>
                <w:color w:val="262626" w:themeColor="text1" w:themeTint="D9"/>
              </w:rPr>
            </w:pPr>
            <w:r>
              <w:rPr>
                <w:color w:val="262626" w:themeColor="text1" w:themeTint="D9"/>
              </w:rPr>
              <w:t>Report from</w:t>
            </w:r>
            <w:r w:rsidR="00536A8B" w:rsidRPr="006249E4">
              <w:rPr>
                <w:color w:val="262626" w:themeColor="text1" w:themeTint="D9"/>
              </w:rPr>
              <w:t xml:space="preserve"> the Director</w:t>
            </w:r>
            <w:r>
              <w:rPr>
                <w:color w:val="262626" w:themeColor="text1" w:themeTint="D9"/>
              </w:rPr>
              <w:t xml:space="preserve"> of </w:t>
            </w:r>
            <w:r w:rsidR="00AA0BA9">
              <w:rPr>
                <w:color w:val="262626" w:themeColor="text1" w:themeTint="D9"/>
              </w:rPr>
              <w:t xml:space="preserve">Consumer Affairs Victoria </w:t>
            </w:r>
            <w:r>
              <w:rPr>
                <w:color w:val="262626" w:themeColor="text1" w:themeTint="D9"/>
              </w:rPr>
              <w:t>(if available)</w:t>
            </w:r>
          </w:p>
          <w:p w14:paraId="15DF6B4E" w14:textId="77777777" w:rsidR="00536A8B" w:rsidRPr="006249E4" w:rsidRDefault="00536A8B" w:rsidP="00536A8B">
            <w:pPr>
              <w:rPr>
                <w:color w:val="262626" w:themeColor="text1" w:themeTint="D9"/>
              </w:rPr>
            </w:pPr>
          </w:p>
          <w:p w14:paraId="3C64E489" w14:textId="37243C12" w:rsidR="00A6083B" w:rsidRPr="006249E4" w:rsidRDefault="00536A8B" w:rsidP="00536A8B">
            <w:pPr>
              <w:rPr>
                <w:color w:val="262626" w:themeColor="text1" w:themeTint="D9"/>
              </w:rPr>
            </w:pPr>
            <w:r w:rsidRPr="006249E4">
              <w:rPr>
                <w:color w:val="262626" w:themeColor="text1" w:themeTint="D9"/>
              </w:rPr>
              <w:t>Notice to SDA provider to repair</w:t>
            </w:r>
          </w:p>
        </w:tc>
        <w:tc>
          <w:tcPr>
            <w:tcW w:w="2552" w:type="dxa"/>
          </w:tcPr>
          <w:p w14:paraId="6E58531A" w14:textId="36F1696F" w:rsidR="002C4CDA" w:rsidRPr="006249E4" w:rsidRDefault="00E41147" w:rsidP="002C4CDA">
            <w:pPr>
              <w:rPr>
                <w:color w:val="262626" w:themeColor="text1" w:themeTint="D9"/>
              </w:rPr>
            </w:pPr>
            <w:r>
              <w:rPr>
                <w:color w:val="262626" w:themeColor="text1" w:themeTint="D9"/>
              </w:rPr>
              <w:t>Apply</w:t>
            </w:r>
            <w:r w:rsidR="002C4CDA" w:rsidRPr="006249E4">
              <w:rPr>
                <w:color w:val="262626" w:themeColor="text1" w:themeTint="D9"/>
              </w:rPr>
              <w:t xml:space="preserve"> within 60 days of receiving </w:t>
            </w:r>
            <w:r w:rsidR="00A20901">
              <w:rPr>
                <w:color w:val="262626" w:themeColor="text1" w:themeTint="D9"/>
              </w:rPr>
              <w:t xml:space="preserve">the </w:t>
            </w:r>
            <w:r w:rsidR="002C4CDA" w:rsidRPr="006249E4">
              <w:rPr>
                <w:color w:val="262626" w:themeColor="text1" w:themeTint="D9"/>
              </w:rPr>
              <w:t>Director</w:t>
            </w:r>
            <w:r w:rsidR="00A20901">
              <w:rPr>
                <w:color w:val="262626" w:themeColor="text1" w:themeTint="D9"/>
              </w:rPr>
              <w:t xml:space="preserve"> of </w:t>
            </w:r>
            <w:r w:rsidR="00AA0BA9">
              <w:rPr>
                <w:color w:val="262626" w:themeColor="text1" w:themeTint="D9"/>
              </w:rPr>
              <w:t>Consumer Affairs Victoria</w:t>
            </w:r>
            <w:r w:rsidR="002C4CDA" w:rsidRPr="006249E4">
              <w:rPr>
                <w:color w:val="262626" w:themeColor="text1" w:themeTint="D9"/>
              </w:rPr>
              <w:t>’s report.</w:t>
            </w:r>
          </w:p>
          <w:p w14:paraId="4D78ED1A" w14:textId="77777777" w:rsidR="002C4CDA" w:rsidRPr="006249E4" w:rsidRDefault="002C4CDA" w:rsidP="002C4CDA">
            <w:pPr>
              <w:rPr>
                <w:color w:val="262626" w:themeColor="text1" w:themeTint="D9"/>
              </w:rPr>
            </w:pPr>
          </w:p>
          <w:p w14:paraId="05A04041" w14:textId="78089B29" w:rsidR="00A6083B" w:rsidRPr="006249E4" w:rsidRDefault="00596BD1" w:rsidP="002C4CDA">
            <w:pPr>
              <w:rPr>
                <w:color w:val="262626" w:themeColor="text1" w:themeTint="D9"/>
              </w:rPr>
            </w:pPr>
            <w:r>
              <w:rPr>
                <w:color w:val="262626" w:themeColor="text1" w:themeTint="D9"/>
              </w:rPr>
              <w:t>If you did not receive the Director</w:t>
            </w:r>
            <w:r w:rsidR="00A20901">
              <w:rPr>
                <w:color w:val="262626" w:themeColor="text1" w:themeTint="D9"/>
              </w:rPr>
              <w:t xml:space="preserve"> of </w:t>
            </w:r>
            <w:r w:rsidR="00AA0BA9">
              <w:rPr>
                <w:color w:val="262626" w:themeColor="text1" w:themeTint="D9"/>
              </w:rPr>
              <w:t>Consumer Affairs Victoria</w:t>
            </w:r>
            <w:r>
              <w:rPr>
                <w:color w:val="262626" w:themeColor="text1" w:themeTint="D9"/>
              </w:rPr>
              <w:t xml:space="preserve">’s report, apply </w:t>
            </w:r>
            <w:r w:rsidR="002C4CDA" w:rsidRPr="006249E4">
              <w:rPr>
                <w:color w:val="262626" w:themeColor="text1" w:themeTint="D9"/>
              </w:rPr>
              <w:t>within 90 days of app</w:t>
            </w:r>
            <w:r>
              <w:rPr>
                <w:color w:val="262626" w:themeColor="text1" w:themeTint="D9"/>
              </w:rPr>
              <w:t>lying</w:t>
            </w:r>
            <w:r w:rsidR="002C4CDA" w:rsidRPr="006249E4">
              <w:rPr>
                <w:color w:val="262626" w:themeColor="text1" w:themeTint="D9"/>
              </w:rPr>
              <w:t xml:space="preserve"> for </w:t>
            </w:r>
            <w:r>
              <w:rPr>
                <w:color w:val="262626" w:themeColor="text1" w:themeTint="D9"/>
              </w:rPr>
              <w:t xml:space="preserve">the </w:t>
            </w:r>
            <w:r w:rsidR="002C4CDA" w:rsidRPr="006249E4">
              <w:rPr>
                <w:color w:val="262626" w:themeColor="text1" w:themeTint="D9"/>
              </w:rPr>
              <w:t>report.</w:t>
            </w:r>
          </w:p>
        </w:tc>
      </w:tr>
      <w:tr w:rsidR="001D60D7" w:rsidRPr="009F5E23" w14:paraId="4A55C6F3" w14:textId="77777777" w:rsidTr="006249E4">
        <w:tc>
          <w:tcPr>
            <w:tcW w:w="3045" w:type="dxa"/>
          </w:tcPr>
          <w:p w14:paraId="18B3972D" w14:textId="4A77B6E7" w:rsidR="00A6083B" w:rsidRPr="006249E4" w:rsidRDefault="00AA0BA9" w:rsidP="006249E4">
            <w:pPr>
              <w:widowControl/>
              <w:autoSpaceDE/>
              <w:autoSpaceDN/>
              <w:spacing w:after="160" w:line="259" w:lineRule="auto"/>
              <w:contextualSpacing/>
              <w:rPr>
                <w:color w:val="262626" w:themeColor="text1" w:themeTint="D9"/>
              </w:rPr>
            </w:pPr>
            <w:r>
              <w:rPr>
                <w:color w:val="262626" w:themeColor="text1" w:themeTint="D9"/>
              </w:rPr>
              <w:t>Order c</w:t>
            </w:r>
            <w:r w:rsidR="00A6083B" w:rsidRPr="006249E4">
              <w:rPr>
                <w:color w:val="262626" w:themeColor="text1" w:themeTint="D9"/>
              </w:rPr>
              <w:t>ompensation if damage is caused to the SDA resident's goods when the owner</w:t>
            </w:r>
            <w:r w:rsidR="00A20901">
              <w:rPr>
                <w:color w:val="262626" w:themeColor="text1" w:themeTint="D9"/>
              </w:rPr>
              <w:t xml:space="preserve"> entered </w:t>
            </w:r>
            <w:r w:rsidR="00A6083B" w:rsidRPr="006249E4">
              <w:rPr>
                <w:color w:val="262626" w:themeColor="text1" w:themeTint="D9"/>
              </w:rPr>
              <w:t>the property</w:t>
            </w:r>
          </w:p>
        </w:tc>
        <w:tc>
          <w:tcPr>
            <w:tcW w:w="1275" w:type="dxa"/>
          </w:tcPr>
          <w:p w14:paraId="3CBB59C9" w14:textId="1402E141" w:rsidR="00A6083B" w:rsidRPr="006249E4" w:rsidRDefault="00A6083B" w:rsidP="00D221EA">
            <w:pPr>
              <w:rPr>
                <w:color w:val="262626" w:themeColor="text1" w:themeTint="D9"/>
              </w:rPr>
            </w:pPr>
            <w:r w:rsidRPr="006249E4">
              <w:rPr>
                <w:color w:val="262626" w:themeColor="text1" w:themeTint="D9"/>
              </w:rPr>
              <w:t>498Z</w:t>
            </w:r>
          </w:p>
        </w:tc>
        <w:tc>
          <w:tcPr>
            <w:tcW w:w="2268" w:type="dxa"/>
          </w:tcPr>
          <w:p w14:paraId="7A7055F3" w14:textId="77777777" w:rsidR="00A6083B" w:rsidRPr="006249E4" w:rsidRDefault="00A6083B" w:rsidP="00D221EA">
            <w:pPr>
              <w:rPr>
                <w:color w:val="262626" w:themeColor="text1" w:themeTint="D9"/>
              </w:rPr>
            </w:pPr>
          </w:p>
        </w:tc>
        <w:tc>
          <w:tcPr>
            <w:tcW w:w="2552" w:type="dxa"/>
          </w:tcPr>
          <w:p w14:paraId="429E34A0" w14:textId="77777777" w:rsidR="00A6083B" w:rsidRPr="006249E4" w:rsidRDefault="00A6083B" w:rsidP="00D221EA">
            <w:pPr>
              <w:rPr>
                <w:color w:val="262626" w:themeColor="text1" w:themeTint="D9"/>
              </w:rPr>
            </w:pPr>
          </w:p>
        </w:tc>
      </w:tr>
      <w:tr w:rsidR="001D60D7" w:rsidRPr="009F5E23" w14:paraId="310EF941" w14:textId="77777777" w:rsidTr="006249E4">
        <w:trPr>
          <w:cnfStyle w:val="000000100000" w:firstRow="0" w:lastRow="0" w:firstColumn="0" w:lastColumn="0" w:oddVBand="0" w:evenVBand="0" w:oddHBand="1" w:evenHBand="0" w:firstRowFirstColumn="0" w:firstRowLastColumn="0" w:lastRowFirstColumn="0" w:lastRowLastColumn="0"/>
        </w:trPr>
        <w:tc>
          <w:tcPr>
            <w:tcW w:w="3045" w:type="dxa"/>
          </w:tcPr>
          <w:p w14:paraId="7296EDF5" w14:textId="6DB09142" w:rsidR="00A6083B" w:rsidRPr="006249E4" w:rsidRDefault="00AA0BA9" w:rsidP="006249E4">
            <w:pPr>
              <w:widowControl/>
              <w:autoSpaceDE/>
              <w:autoSpaceDN/>
              <w:spacing w:after="160" w:line="259" w:lineRule="auto"/>
              <w:contextualSpacing/>
              <w:rPr>
                <w:color w:val="262626" w:themeColor="text1" w:themeTint="D9"/>
              </w:rPr>
            </w:pPr>
            <w:r>
              <w:rPr>
                <w:color w:val="262626" w:themeColor="text1" w:themeTint="D9"/>
              </w:rPr>
              <w:t>Declare</w:t>
            </w:r>
            <w:r w:rsidR="00A20901">
              <w:rPr>
                <w:color w:val="262626" w:themeColor="text1" w:themeTint="D9"/>
              </w:rPr>
              <w:t xml:space="preserve"> that</w:t>
            </w:r>
            <w:r w:rsidR="00A6083B" w:rsidRPr="006249E4">
              <w:rPr>
                <w:color w:val="262626" w:themeColor="text1" w:themeTint="D9"/>
              </w:rPr>
              <w:t xml:space="preserve"> the proposed </w:t>
            </w:r>
            <w:r w:rsidR="00A6083B" w:rsidRPr="006249E4">
              <w:rPr>
                <w:color w:val="262626" w:themeColor="text1" w:themeTint="D9"/>
              </w:rPr>
              <w:lastRenderedPageBreak/>
              <w:t xml:space="preserve">rent </w:t>
            </w:r>
            <w:r w:rsidR="00A20901">
              <w:rPr>
                <w:color w:val="262626" w:themeColor="text1" w:themeTint="D9"/>
              </w:rPr>
              <w:t xml:space="preserve">is </w:t>
            </w:r>
            <w:r w:rsidR="00A6083B" w:rsidRPr="006249E4">
              <w:rPr>
                <w:color w:val="262626" w:themeColor="text1" w:themeTint="D9"/>
              </w:rPr>
              <w:t>excessive</w:t>
            </w:r>
          </w:p>
        </w:tc>
        <w:tc>
          <w:tcPr>
            <w:tcW w:w="1275" w:type="dxa"/>
          </w:tcPr>
          <w:p w14:paraId="2333CE43" w14:textId="3D8F039A" w:rsidR="00A6083B" w:rsidRPr="006249E4" w:rsidRDefault="00A6083B" w:rsidP="00D221EA">
            <w:pPr>
              <w:rPr>
                <w:color w:val="262626" w:themeColor="text1" w:themeTint="D9"/>
              </w:rPr>
            </w:pPr>
            <w:r w:rsidRPr="006249E4">
              <w:rPr>
                <w:color w:val="262626" w:themeColor="text1" w:themeTint="D9"/>
              </w:rPr>
              <w:lastRenderedPageBreak/>
              <w:t>498ZH</w:t>
            </w:r>
          </w:p>
        </w:tc>
        <w:tc>
          <w:tcPr>
            <w:tcW w:w="2268" w:type="dxa"/>
          </w:tcPr>
          <w:p w14:paraId="36CC003C" w14:textId="4A8D6623" w:rsidR="00A20901" w:rsidRPr="00A7410A" w:rsidRDefault="00A20901" w:rsidP="00A20901">
            <w:pPr>
              <w:rPr>
                <w:color w:val="262626" w:themeColor="text1" w:themeTint="D9"/>
              </w:rPr>
            </w:pPr>
            <w:r>
              <w:rPr>
                <w:color w:val="262626" w:themeColor="text1" w:themeTint="D9"/>
              </w:rPr>
              <w:t>Report from</w:t>
            </w:r>
            <w:r w:rsidRPr="00A7410A">
              <w:rPr>
                <w:color w:val="262626" w:themeColor="text1" w:themeTint="D9"/>
              </w:rPr>
              <w:t xml:space="preserve"> the </w:t>
            </w:r>
            <w:r w:rsidRPr="00A7410A">
              <w:rPr>
                <w:color w:val="262626" w:themeColor="text1" w:themeTint="D9"/>
              </w:rPr>
              <w:lastRenderedPageBreak/>
              <w:t>Director</w:t>
            </w:r>
            <w:r>
              <w:rPr>
                <w:color w:val="262626" w:themeColor="text1" w:themeTint="D9"/>
              </w:rPr>
              <w:t xml:space="preserve"> of </w:t>
            </w:r>
            <w:r w:rsidR="00AA0BA9">
              <w:rPr>
                <w:color w:val="262626" w:themeColor="text1" w:themeTint="D9"/>
              </w:rPr>
              <w:t>Consumer Affairs Victoria</w:t>
            </w:r>
            <w:r>
              <w:rPr>
                <w:color w:val="262626" w:themeColor="text1" w:themeTint="D9"/>
              </w:rPr>
              <w:t xml:space="preserve"> (if available)</w:t>
            </w:r>
          </w:p>
          <w:p w14:paraId="30FD1772" w14:textId="77777777" w:rsidR="00536A8B" w:rsidRPr="006249E4" w:rsidRDefault="00536A8B" w:rsidP="00536A8B">
            <w:pPr>
              <w:rPr>
                <w:color w:val="262626" w:themeColor="text1" w:themeTint="D9"/>
              </w:rPr>
            </w:pPr>
          </w:p>
          <w:p w14:paraId="157C965E" w14:textId="22E0AA8B" w:rsidR="00A6083B" w:rsidRPr="006249E4" w:rsidRDefault="00A20901" w:rsidP="00536A8B">
            <w:pPr>
              <w:rPr>
                <w:color w:val="262626" w:themeColor="text1" w:themeTint="D9"/>
              </w:rPr>
            </w:pPr>
            <w:r>
              <w:rPr>
                <w:color w:val="262626" w:themeColor="text1" w:themeTint="D9"/>
              </w:rPr>
              <w:t>N</w:t>
            </w:r>
            <w:r w:rsidR="00536A8B" w:rsidRPr="006249E4">
              <w:rPr>
                <w:color w:val="262626" w:themeColor="text1" w:themeTint="D9"/>
              </w:rPr>
              <w:t>otice of rent increase.</w:t>
            </w:r>
          </w:p>
        </w:tc>
        <w:tc>
          <w:tcPr>
            <w:tcW w:w="2552" w:type="dxa"/>
          </w:tcPr>
          <w:p w14:paraId="01F5D6C4" w14:textId="76A61228" w:rsidR="008C02A2" w:rsidRPr="006249E4" w:rsidRDefault="00A20901" w:rsidP="008C02A2">
            <w:pPr>
              <w:rPr>
                <w:color w:val="262626" w:themeColor="text1" w:themeTint="D9"/>
              </w:rPr>
            </w:pPr>
            <w:r>
              <w:rPr>
                <w:color w:val="262626" w:themeColor="text1" w:themeTint="D9"/>
              </w:rPr>
              <w:lastRenderedPageBreak/>
              <w:t>Apply</w:t>
            </w:r>
            <w:r w:rsidR="008C02A2" w:rsidRPr="006249E4">
              <w:rPr>
                <w:color w:val="262626" w:themeColor="text1" w:themeTint="D9"/>
              </w:rPr>
              <w:t xml:space="preserve"> within 30 days </w:t>
            </w:r>
            <w:r>
              <w:rPr>
                <w:color w:val="262626" w:themeColor="text1" w:themeTint="D9"/>
              </w:rPr>
              <w:lastRenderedPageBreak/>
              <w:t xml:space="preserve">of the </w:t>
            </w:r>
            <w:r w:rsidR="008C02A2" w:rsidRPr="006249E4">
              <w:rPr>
                <w:color w:val="262626" w:themeColor="text1" w:themeTint="D9"/>
              </w:rPr>
              <w:t xml:space="preserve">Director </w:t>
            </w:r>
            <w:r>
              <w:rPr>
                <w:color w:val="262626" w:themeColor="text1" w:themeTint="D9"/>
              </w:rPr>
              <w:t xml:space="preserve">of </w:t>
            </w:r>
            <w:r w:rsidR="00AA0BA9">
              <w:rPr>
                <w:color w:val="262626" w:themeColor="text1" w:themeTint="D9"/>
              </w:rPr>
              <w:t>Consumer Affairs Victoria</w:t>
            </w:r>
            <w:r w:rsidR="008C02A2" w:rsidRPr="006249E4">
              <w:rPr>
                <w:color w:val="262626" w:themeColor="text1" w:themeTint="D9"/>
              </w:rPr>
              <w:t xml:space="preserve"> issu</w:t>
            </w:r>
            <w:r w:rsidR="001D60D7">
              <w:rPr>
                <w:color w:val="262626" w:themeColor="text1" w:themeTint="D9"/>
              </w:rPr>
              <w:t>ing</w:t>
            </w:r>
            <w:r>
              <w:rPr>
                <w:color w:val="262626" w:themeColor="text1" w:themeTint="D9"/>
              </w:rPr>
              <w:t xml:space="preserve"> their</w:t>
            </w:r>
            <w:r w:rsidR="008C02A2" w:rsidRPr="006249E4">
              <w:rPr>
                <w:color w:val="262626" w:themeColor="text1" w:themeTint="D9"/>
              </w:rPr>
              <w:t xml:space="preserve"> report.</w:t>
            </w:r>
          </w:p>
          <w:p w14:paraId="4F3CCE35" w14:textId="77777777" w:rsidR="008C02A2" w:rsidRPr="006249E4" w:rsidRDefault="008C02A2" w:rsidP="008C02A2">
            <w:pPr>
              <w:rPr>
                <w:color w:val="262626" w:themeColor="text1" w:themeTint="D9"/>
              </w:rPr>
            </w:pPr>
          </w:p>
          <w:p w14:paraId="67A14633" w14:textId="346144D1" w:rsidR="00A6083B" w:rsidRPr="006249E4" w:rsidRDefault="001D60D7" w:rsidP="008C02A2">
            <w:pPr>
              <w:rPr>
                <w:color w:val="262626" w:themeColor="text1" w:themeTint="D9"/>
              </w:rPr>
            </w:pPr>
            <w:r>
              <w:rPr>
                <w:color w:val="262626" w:themeColor="text1" w:themeTint="D9"/>
              </w:rPr>
              <w:t xml:space="preserve">You can </w:t>
            </w:r>
            <w:r w:rsidR="008C02A2" w:rsidRPr="006249E4">
              <w:rPr>
                <w:color w:val="262626" w:themeColor="text1" w:themeTint="D9"/>
              </w:rPr>
              <w:t xml:space="preserve">apply </w:t>
            </w:r>
            <w:r>
              <w:rPr>
                <w:color w:val="262626" w:themeColor="text1" w:themeTint="D9"/>
              </w:rPr>
              <w:t xml:space="preserve">to VCAT for permission (leave) to proceed </w:t>
            </w:r>
            <w:r w:rsidR="008C02A2" w:rsidRPr="006249E4">
              <w:rPr>
                <w:color w:val="262626" w:themeColor="text1" w:themeTint="D9"/>
              </w:rPr>
              <w:t xml:space="preserve">without </w:t>
            </w:r>
            <w:r>
              <w:rPr>
                <w:color w:val="262626" w:themeColor="text1" w:themeTint="D9"/>
              </w:rPr>
              <w:t xml:space="preserve">a report from the Director of Consumer Affairs. The application for leave must be made at least </w:t>
            </w:r>
            <w:r w:rsidR="00A20901">
              <w:rPr>
                <w:color w:val="262626" w:themeColor="text1" w:themeTint="D9"/>
              </w:rPr>
              <w:t>30 days after the notice of rent increase is given</w:t>
            </w:r>
            <w:r>
              <w:rPr>
                <w:color w:val="262626" w:themeColor="text1" w:themeTint="D9"/>
              </w:rPr>
              <w:t>. You must have a good reason for failing to request a report.</w:t>
            </w:r>
          </w:p>
        </w:tc>
      </w:tr>
      <w:tr w:rsidR="001D60D7" w:rsidRPr="009F5E23" w14:paraId="72F6F058" w14:textId="77777777" w:rsidTr="006249E4">
        <w:tc>
          <w:tcPr>
            <w:tcW w:w="3045" w:type="dxa"/>
          </w:tcPr>
          <w:p w14:paraId="685AC3EF" w14:textId="58337E0E" w:rsidR="00A6083B" w:rsidRPr="006249E4" w:rsidRDefault="00A20901" w:rsidP="006249E4">
            <w:pPr>
              <w:widowControl/>
              <w:autoSpaceDE/>
              <w:autoSpaceDN/>
              <w:spacing w:after="160" w:line="259" w:lineRule="auto"/>
              <w:contextualSpacing/>
              <w:rPr>
                <w:color w:val="262626" w:themeColor="text1" w:themeTint="D9"/>
              </w:rPr>
            </w:pPr>
            <w:r>
              <w:rPr>
                <w:color w:val="262626" w:themeColor="text1" w:themeTint="D9"/>
              </w:rPr>
              <w:lastRenderedPageBreak/>
              <w:t xml:space="preserve">Order compensation or compliance because </w:t>
            </w:r>
            <w:r w:rsidR="002C6004">
              <w:rPr>
                <w:color w:val="262626" w:themeColor="text1" w:themeTint="D9"/>
              </w:rPr>
              <w:t>the other party did not comply</w:t>
            </w:r>
            <w:r w:rsidR="006315CA" w:rsidRPr="009F5E23">
              <w:rPr>
                <w:color w:val="262626" w:themeColor="text1" w:themeTint="D9"/>
              </w:rPr>
              <w:t xml:space="preserve"> with </w:t>
            </w:r>
            <w:r w:rsidR="00A6083B" w:rsidRPr="006249E4">
              <w:rPr>
                <w:color w:val="262626" w:themeColor="text1" w:themeTint="D9"/>
              </w:rPr>
              <w:t>a breach of duty notice</w:t>
            </w:r>
          </w:p>
        </w:tc>
        <w:tc>
          <w:tcPr>
            <w:tcW w:w="1275" w:type="dxa"/>
          </w:tcPr>
          <w:p w14:paraId="7D1B97FD" w14:textId="76FAD8FD" w:rsidR="00A6083B" w:rsidRPr="006249E4" w:rsidRDefault="00A6083B" w:rsidP="00D221EA">
            <w:pPr>
              <w:rPr>
                <w:color w:val="262626" w:themeColor="text1" w:themeTint="D9"/>
              </w:rPr>
            </w:pPr>
            <w:r w:rsidRPr="006249E4">
              <w:rPr>
                <w:color w:val="262626" w:themeColor="text1" w:themeTint="D9"/>
              </w:rPr>
              <w:t>498ZQ</w:t>
            </w:r>
          </w:p>
        </w:tc>
        <w:tc>
          <w:tcPr>
            <w:tcW w:w="2268" w:type="dxa"/>
          </w:tcPr>
          <w:p w14:paraId="26A2C1E4" w14:textId="7878CFF6" w:rsidR="00A6083B" w:rsidRPr="006249E4" w:rsidRDefault="00FF561D" w:rsidP="00D221EA">
            <w:pPr>
              <w:rPr>
                <w:color w:val="262626" w:themeColor="text1" w:themeTint="D9"/>
              </w:rPr>
            </w:pPr>
            <w:r w:rsidRPr="009F5E23">
              <w:rPr>
                <w:color w:val="262626" w:themeColor="text1" w:themeTint="D9"/>
              </w:rPr>
              <w:t>B</w:t>
            </w:r>
            <w:r w:rsidR="00536A8B" w:rsidRPr="006249E4">
              <w:rPr>
                <w:color w:val="262626" w:themeColor="text1" w:themeTint="D9"/>
              </w:rPr>
              <w:t>reach of duty notice</w:t>
            </w:r>
          </w:p>
        </w:tc>
        <w:tc>
          <w:tcPr>
            <w:tcW w:w="2552" w:type="dxa"/>
          </w:tcPr>
          <w:p w14:paraId="3E2A9A5B" w14:textId="74393420" w:rsidR="00482E87" w:rsidRPr="006249E4" w:rsidRDefault="002C6004" w:rsidP="00482E87">
            <w:pPr>
              <w:rPr>
                <w:color w:val="262626" w:themeColor="text1" w:themeTint="D9"/>
              </w:rPr>
            </w:pPr>
            <w:r>
              <w:rPr>
                <w:color w:val="262626" w:themeColor="text1" w:themeTint="D9"/>
              </w:rPr>
              <w:t>Apply</w:t>
            </w:r>
            <w:r w:rsidR="00482E87" w:rsidRPr="006249E4">
              <w:rPr>
                <w:color w:val="262626" w:themeColor="text1" w:themeTint="D9"/>
              </w:rPr>
              <w:t xml:space="preserve"> within 90 days after the compliance date (</w:t>
            </w:r>
            <w:r w:rsidR="00AA0BA9">
              <w:rPr>
                <w:color w:val="262626" w:themeColor="text1" w:themeTint="D9"/>
              </w:rPr>
              <w:t xml:space="preserve">usually </w:t>
            </w:r>
            <w:r w:rsidR="00482E87" w:rsidRPr="006249E4">
              <w:rPr>
                <w:color w:val="262626" w:themeColor="text1" w:themeTint="D9"/>
              </w:rPr>
              <w:t xml:space="preserve">14 days from </w:t>
            </w:r>
            <w:r>
              <w:rPr>
                <w:color w:val="262626" w:themeColor="text1" w:themeTint="D9"/>
              </w:rPr>
              <w:t xml:space="preserve">the </w:t>
            </w:r>
            <w:r w:rsidR="00482E87" w:rsidRPr="006249E4">
              <w:rPr>
                <w:color w:val="262626" w:themeColor="text1" w:themeTint="D9"/>
              </w:rPr>
              <w:t xml:space="preserve">date </w:t>
            </w:r>
            <w:r w:rsidR="001D60D7">
              <w:rPr>
                <w:color w:val="262626" w:themeColor="text1" w:themeTint="D9"/>
              </w:rPr>
              <w:t xml:space="preserve">the breach of duty </w:t>
            </w:r>
            <w:r w:rsidR="00482E87" w:rsidRPr="006249E4">
              <w:rPr>
                <w:color w:val="262626" w:themeColor="text1" w:themeTint="D9"/>
              </w:rPr>
              <w:t xml:space="preserve">notice </w:t>
            </w:r>
            <w:r>
              <w:rPr>
                <w:color w:val="262626" w:themeColor="text1" w:themeTint="D9"/>
              </w:rPr>
              <w:t xml:space="preserve">was </w:t>
            </w:r>
            <w:r w:rsidR="00482E87" w:rsidRPr="006249E4">
              <w:rPr>
                <w:color w:val="262626" w:themeColor="text1" w:themeTint="D9"/>
              </w:rPr>
              <w:t>given).</w:t>
            </w:r>
          </w:p>
          <w:p w14:paraId="4CF520C4" w14:textId="77777777" w:rsidR="00A6083B" w:rsidRPr="006249E4" w:rsidRDefault="00A6083B" w:rsidP="00D221EA">
            <w:pPr>
              <w:rPr>
                <w:color w:val="262626" w:themeColor="text1" w:themeTint="D9"/>
              </w:rPr>
            </w:pPr>
          </w:p>
        </w:tc>
      </w:tr>
      <w:tr w:rsidR="001D60D7" w:rsidRPr="009F5E23" w14:paraId="51EB8C3A" w14:textId="77777777" w:rsidTr="006249E4">
        <w:trPr>
          <w:cnfStyle w:val="000000100000" w:firstRow="0" w:lastRow="0" w:firstColumn="0" w:lastColumn="0" w:oddVBand="0" w:evenVBand="0" w:oddHBand="1" w:evenHBand="0" w:firstRowFirstColumn="0" w:firstRowLastColumn="0" w:lastRowFirstColumn="0" w:lastRowLastColumn="0"/>
        </w:trPr>
        <w:tc>
          <w:tcPr>
            <w:tcW w:w="3045" w:type="dxa"/>
          </w:tcPr>
          <w:p w14:paraId="5B48904B" w14:textId="29C18CE9" w:rsidR="00A6083B" w:rsidRPr="006249E4" w:rsidRDefault="002C6004" w:rsidP="006249E4">
            <w:pPr>
              <w:widowControl/>
              <w:autoSpaceDE/>
              <w:autoSpaceDN/>
              <w:spacing w:after="160" w:line="259" w:lineRule="auto"/>
              <w:contextualSpacing/>
              <w:rPr>
                <w:color w:val="262626" w:themeColor="text1" w:themeTint="D9"/>
              </w:rPr>
            </w:pPr>
            <w:r>
              <w:rPr>
                <w:color w:val="262626" w:themeColor="text1" w:themeTint="D9"/>
              </w:rPr>
              <w:t>Determine whether</w:t>
            </w:r>
            <w:r w:rsidR="00A6083B" w:rsidRPr="006249E4">
              <w:rPr>
                <w:color w:val="262626" w:themeColor="text1" w:themeTint="D9"/>
              </w:rPr>
              <w:t xml:space="preserve"> </w:t>
            </w:r>
            <w:r>
              <w:rPr>
                <w:color w:val="262626" w:themeColor="text1" w:themeTint="D9"/>
              </w:rPr>
              <w:t xml:space="preserve">a </w:t>
            </w:r>
            <w:r w:rsidR="00A6083B" w:rsidRPr="006249E4">
              <w:rPr>
                <w:color w:val="262626" w:themeColor="text1" w:themeTint="D9"/>
              </w:rPr>
              <w:t>notice to vacate</w:t>
            </w:r>
            <w:r>
              <w:rPr>
                <w:color w:val="262626" w:themeColor="text1" w:themeTint="D9"/>
              </w:rPr>
              <w:t xml:space="preserve"> is valid</w:t>
            </w:r>
          </w:p>
        </w:tc>
        <w:tc>
          <w:tcPr>
            <w:tcW w:w="1275" w:type="dxa"/>
          </w:tcPr>
          <w:p w14:paraId="09D471E1" w14:textId="6F7F3DEB" w:rsidR="00A6083B" w:rsidRPr="006249E4" w:rsidRDefault="00A6083B" w:rsidP="00D221EA">
            <w:pPr>
              <w:rPr>
                <w:color w:val="262626" w:themeColor="text1" w:themeTint="D9"/>
              </w:rPr>
            </w:pPr>
            <w:r w:rsidRPr="006249E4">
              <w:rPr>
                <w:color w:val="262626" w:themeColor="text1" w:themeTint="D9"/>
              </w:rPr>
              <w:t>498ZZC</w:t>
            </w:r>
          </w:p>
        </w:tc>
        <w:tc>
          <w:tcPr>
            <w:tcW w:w="2268" w:type="dxa"/>
          </w:tcPr>
          <w:p w14:paraId="7C33F41A" w14:textId="3220A814" w:rsidR="002C6004" w:rsidRDefault="00FF561D" w:rsidP="00D221EA">
            <w:pPr>
              <w:rPr>
                <w:color w:val="262626" w:themeColor="text1" w:themeTint="D9"/>
              </w:rPr>
            </w:pPr>
            <w:r w:rsidRPr="009F5E23">
              <w:rPr>
                <w:color w:val="262626" w:themeColor="text1" w:themeTint="D9"/>
              </w:rPr>
              <w:t>N</w:t>
            </w:r>
            <w:r w:rsidR="00536A8B" w:rsidRPr="006249E4">
              <w:rPr>
                <w:color w:val="262626" w:themeColor="text1" w:themeTint="D9"/>
              </w:rPr>
              <w:t xml:space="preserve">otice to vacate </w:t>
            </w:r>
          </w:p>
          <w:p w14:paraId="60158187" w14:textId="77777777" w:rsidR="002C6004" w:rsidRDefault="002C6004" w:rsidP="00D221EA">
            <w:pPr>
              <w:rPr>
                <w:color w:val="262626" w:themeColor="text1" w:themeTint="D9"/>
              </w:rPr>
            </w:pPr>
          </w:p>
          <w:p w14:paraId="3621760B" w14:textId="29DCD857" w:rsidR="00A6083B" w:rsidRPr="006249E4" w:rsidRDefault="002C6004" w:rsidP="00D221EA">
            <w:pPr>
              <w:rPr>
                <w:color w:val="262626" w:themeColor="text1" w:themeTint="D9"/>
              </w:rPr>
            </w:pPr>
            <w:r>
              <w:rPr>
                <w:color w:val="262626" w:themeColor="text1" w:themeTint="D9"/>
              </w:rPr>
              <w:t>N</w:t>
            </w:r>
            <w:r w:rsidR="00536A8B" w:rsidRPr="006249E4">
              <w:rPr>
                <w:color w:val="262626" w:themeColor="text1" w:themeTint="D9"/>
              </w:rPr>
              <w:t>otice of temporary relocation</w:t>
            </w:r>
            <w:r>
              <w:rPr>
                <w:color w:val="262626" w:themeColor="text1" w:themeTint="D9"/>
              </w:rPr>
              <w:t xml:space="preserve"> (if issued)</w:t>
            </w:r>
          </w:p>
        </w:tc>
        <w:tc>
          <w:tcPr>
            <w:tcW w:w="2552" w:type="dxa"/>
          </w:tcPr>
          <w:p w14:paraId="3CBA4B67" w14:textId="1864499D" w:rsidR="00A6083B" w:rsidRPr="006249E4" w:rsidRDefault="002C6004" w:rsidP="00D221EA">
            <w:pPr>
              <w:rPr>
                <w:color w:val="262626" w:themeColor="text1" w:themeTint="D9"/>
              </w:rPr>
            </w:pPr>
            <w:r>
              <w:rPr>
                <w:color w:val="262626" w:themeColor="text1" w:themeTint="D9"/>
              </w:rPr>
              <w:t xml:space="preserve">Apply </w:t>
            </w:r>
            <w:r w:rsidR="00482E87" w:rsidRPr="006249E4">
              <w:rPr>
                <w:color w:val="262626" w:themeColor="text1" w:themeTint="D9"/>
              </w:rPr>
              <w:t>within 90 days of the day the notice to vacate is issued</w:t>
            </w:r>
            <w:r w:rsidR="00FF561D" w:rsidRPr="009F5E23">
              <w:rPr>
                <w:color w:val="262626" w:themeColor="text1" w:themeTint="D9"/>
              </w:rPr>
              <w:t>.</w:t>
            </w:r>
          </w:p>
        </w:tc>
      </w:tr>
      <w:tr w:rsidR="001D60D7" w:rsidRPr="009F5E23" w14:paraId="352AB261" w14:textId="77777777" w:rsidTr="006249E4">
        <w:tc>
          <w:tcPr>
            <w:tcW w:w="3045" w:type="dxa"/>
          </w:tcPr>
          <w:p w14:paraId="08816C27" w14:textId="01478AE9" w:rsidR="00A6083B" w:rsidRPr="006249E4" w:rsidRDefault="00AA0BA9" w:rsidP="006249E4">
            <w:pPr>
              <w:widowControl/>
              <w:autoSpaceDE/>
              <w:autoSpaceDN/>
              <w:spacing w:after="160" w:line="259" w:lineRule="auto"/>
              <w:contextualSpacing/>
              <w:rPr>
                <w:color w:val="262626" w:themeColor="text1" w:themeTint="D9"/>
              </w:rPr>
            </w:pPr>
            <w:r>
              <w:rPr>
                <w:color w:val="262626" w:themeColor="text1" w:themeTint="D9"/>
              </w:rPr>
              <w:t>Order</w:t>
            </w:r>
            <w:r w:rsidR="00A6083B" w:rsidRPr="006249E4">
              <w:rPr>
                <w:color w:val="262626" w:themeColor="text1" w:themeTint="D9"/>
              </w:rPr>
              <w:t xml:space="preserve"> compensation because the owner has destroyed, disposed of</w:t>
            </w:r>
            <w:r w:rsidR="002C6004">
              <w:rPr>
                <w:color w:val="262626" w:themeColor="text1" w:themeTint="D9"/>
              </w:rPr>
              <w:t>,</w:t>
            </w:r>
            <w:r w:rsidR="00A6083B" w:rsidRPr="006249E4">
              <w:rPr>
                <w:color w:val="262626" w:themeColor="text1" w:themeTint="D9"/>
              </w:rPr>
              <w:t xml:space="preserve"> or sold a former resident's goods or personal documents</w:t>
            </w:r>
          </w:p>
        </w:tc>
        <w:tc>
          <w:tcPr>
            <w:tcW w:w="1275" w:type="dxa"/>
          </w:tcPr>
          <w:p w14:paraId="681EBEF3" w14:textId="798BC73C" w:rsidR="00A6083B" w:rsidRPr="006249E4" w:rsidRDefault="00A6083B" w:rsidP="00D221EA">
            <w:pPr>
              <w:rPr>
                <w:color w:val="262626" w:themeColor="text1" w:themeTint="D9"/>
              </w:rPr>
            </w:pPr>
            <w:r w:rsidRPr="006249E4">
              <w:rPr>
                <w:color w:val="262626" w:themeColor="text1" w:themeTint="D9"/>
              </w:rPr>
              <w:t>498ZZZJ</w:t>
            </w:r>
          </w:p>
        </w:tc>
        <w:tc>
          <w:tcPr>
            <w:tcW w:w="2268" w:type="dxa"/>
          </w:tcPr>
          <w:p w14:paraId="7E90659D" w14:textId="77777777" w:rsidR="00A6083B" w:rsidRPr="006249E4" w:rsidRDefault="00A6083B" w:rsidP="00D221EA">
            <w:pPr>
              <w:rPr>
                <w:color w:val="262626" w:themeColor="text1" w:themeTint="D9"/>
              </w:rPr>
            </w:pPr>
          </w:p>
        </w:tc>
        <w:tc>
          <w:tcPr>
            <w:tcW w:w="2552" w:type="dxa"/>
          </w:tcPr>
          <w:p w14:paraId="0497231D" w14:textId="77777777" w:rsidR="00A6083B" w:rsidRPr="006249E4" w:rsidRDefault="00A6083B" w:rsidP="00D221EA">
            <w:pPr>
              <w:rPr>
                <w:color w:val="262626" w:themeColor="text1" w:themeTint="D9"/>
              </w:rPr>
            </w:pPr>
          </w:p>
        </w:tc>
      </w:tr>
      <w:tr w:rsidR="001D60D7" w:rsidRPr="009F5E23" w14:paraId="3DE43D34" w14:textId="77777777" w:rsidTr="006249E4">
        <w:trPr>
          <w:cnfStyle w:val="000000100000" w:firstRow="0" w:lastRow="0" w:firstColumn="0" w:lastColumn="0" w:oddVBand="0" w:evenVBand="0" w:oddHBand="1" w:evenHBand="0" w:firstRowFirstColumn="0" w:firstRowLastColumn="0" w:lastRowFirstColumn="0" w:lastRowLastColumn="0"/>
        </w:trPr>
        <w:tc>
          <w:tcPr>
            <w:tcW w:w="3045" w:type="dxa"/>
          </w:tcPr>
          <w:p w14:paraId="478E923A" w14:textId="1520783B" w:rsidR="00A6083B" w:rsidRPr="006249E4" w:rsidRDefault="00AA0BA9" w:rsidP="00D221EA">
            <w:pPr>
              <w:rPr>
                <w:color w:val="262626" w:themeColor="text1" w:themeTint="D9"/>
              </w:rPr>
            </w:pPr>
            <w:r>
              <w:rPr>
                <w:color w:val="262626" w:themeColor="text1" w:themeTint="D9"/>
              </w:rPr>
              <w:t>Order r</w:t>
            </w:r>
            <w:r w:rsidR="002C6004">
              <w:rPr>
                <w:color w:val="262626" w:themeColor="text1" w:themeTint="D9"/>
              </w:rPr>
              <w:t>ecover</w:t>
            </w:r>
            <w:r>
              <w:rPr>
                <w:color w:val="262626" w:themeColor="text1" w:themeTint="D9"/>
              </w:rPr>
              <w:t xml:space="preserve">y of </w:t>
            </w:r>
            <w:r w:rsidR="002C6004">
              <w:rPr>
                <w:color w:val="262626" w:themeColor="text1" w:themeTint="D9"/>
              </w:rPr>
              <w:t xml:space="preserve">goods or personal documents left behind that an </w:t>
            </w:r>
            <w:r w:rsidR="00A6083B" w:rsidRPr="006249E4">
              <w:rPr>
                <w:color w:val="262626" w:themeColor="text1" w:themeTint="D9"/>
              </w:rPr>
              <w:t>owner wrongfully retains and refuses to give up</w:t>
            </w:r>
            <w:r w:rsidR="002C6004">
              <w:rPr>
                <w:color w:val="262626" w:themeColor="text1" w:themeTint="D9"/>
              </w:rPr>
              <w:t>.</w:t>
            </w:r>
          </w:p>
        </w:tc>
        <w:tc>
          <w:tcPr>
            <w:tcW w:w="1275" w:type="dxa"/>
          </w:tcPr>
          <w:p w14:paraId="438CA11F" w14:textId="4421F15F" w:rsidR="00A6083B" w:rsidRPr="006249E4" w:rsidRDefault="00A6083B" w:rsidP="00D221EA">
            <w:pPr>
              <w:rPr>
                <w:color w:val="262626" w:themeColor="text1" w:themeTint="D9"/>
              </w:rPr>
            </w:pPr>
            <w:r w:rsidRPr="006249E4">
              <w:rPr>
                <w:color w:val="262626" w:themeColor="text1" w:themeTint="D9"/>
              </w:rPr>
              <w:t>498ZZZK</w:t>
            </w:r>
          </w:p>
        </w:tc>
        <w:tc>
          <w:tcPr>
            <w:tcW w:w="2268" w:type="dxa"/>
          </w:tcPr>
          <w:p w14:paraId="050E0B3D" w14:textId="77777777" w:rsidR="00A6083B" w:rsidRPr="006249E4" w:rsidRDefault="00A6083B" w:rsidP="00D221EA">
            <w:pPr>
              <w:rPr>
                <w:color w:val="262626" w:themeColor="text1" w:themeTint="D9"/>
              </w:rPr>
            </w:pPr>
          </w:p>
        </w:tc>
        <w:tc>
          <w:tcPr>
            <w:tcW w:w="2552" w:type="dxa"/>
          </w:tcPr>
          <w:p w14:paraId="06D1E8FF" w14:textId="77777777" w:rsidR="00A6083B" w:rsidRPr="006249E4" w:rsidRDefault="00A6083B" w:rsidP="00D221EA">
            <w:pPr>
              <w:rPr>
                <w:color w:val="262626" w:themeColor="text1" w:themeTint="D9"/>
              </w:rPr>
            </w:pPr>
          </w:p>
        </w:tc>
      </w:tr>
      <w:tr w:rsidR="001D60D7" w:rsidRPr="009F5E23" w14:paraId="4B7FBA20" w14:textId="77777777" w:rsidTr="006249E4">
        <w:tc>
          <w:tcPr>
            <w:tcW w:w="3045" w:type="dxa"/>
          </w:tcPr>
          <w:p w14:paraId="78500CEB" w14:textId="4D62ECB1" w:rsidR="00A6083B" w:rsidRPr="006249E4" w:rsidRDefault="00AA0BA9" w:rsidP="006249E4">
            <w:pPr>
              <w:widowControl/>
              <w:autoSpaceDE/>
              <w:autoSpaceDN/>
              <w:spacing w:after="160" w:line="259" w:lineRule="auto"/>
              <w:contextualSpacing/>
              <w:rPr>
                <w:color w:val="262626" w:themeColor="text1" w:themeTint="D9"/>
              </w:rPr>
            </w:pPr>
            <w:r>
              <w:rPr>
                <w:color w:val="262626" w:themeColor="text1" w:themeTint="D9"/>
              </w:rPr>
              <w:t>Order c</w:t>
            </w:r>
            <w:r w:rsidR="002C6004">
              <w:rPr>
                <w:color w:val="262626" w:themeColor="text1" w:themeTint="D9"/>
              </w:rPr>
              <w:t xml:space="preserve">ompensation </w:t>
            </w:r>
            <w:r>
              <w:rPr>
                <w:color w:val="262626" w:themeColor="text1" w:themeTint="D9"/>
              </w:rPr>
              <w:t xml:space="preserve">because the </w:t>
            </w:r>
            <w:r w:rsidR="00A6083B" w:rsidRPr="006249E4">
              <w:rPr>
                <w:color w:val="262626" w:themeColor="text1" w:themeTint="D9"/>
              </w:rPr>
              <w:t xml:space="preserve">owner </w:t>
            </w:r>
            <w:r w:rsidR="002C6004">
              <w:rPr>
                <w:color w:val="262626" w:themeColor="text1" w:themeTint="D9"/>
              </w:rPr>
              <w:t xml:space="preserve">of the dwelling </w:t>
            </w:r>
            <w:r w:rsidR="00A6083B" w:rsidRPr="006249E4">
              <w:rPr>
                <w:color w:val="262626" w:themeColor="text1" w:themeTint="D9"/>
              </w:rPr>
              <w:t>damage</w:t>
            </w:r>
            <w:r w:rsidR="002C6004">
              <w:rPr>
                <w:color w:val="262626" w:themeColor="text1" w:themeTint="D9"/>
              </w:rPr>
              <w:t>d</w:t>
            </w:r>
            <w:r w:rsidR="00A6083B" w:rsidRPr="006249E4">
              <w:rPr>
                <w:color w:val="262626" w:themeColor="text1" w:themeTint="D9"/>
              </w:rPr>
              <w:t xml:space="preserve"> or los</w:t>
            </w:r>
            <w:r w:rsidR="002C6004">
              <w:rPr>
                <w:color w:val="262626" w:themeColor="text1" w:themeTint="D9"/>
              </w:rPr>
              <w:t>t</w:t>
            </w:r>
            <w:r w:rsidR="00A6083B" w:rsidRPr="006249E4">
              <w:rPr>
                <w:color w:val="262626" w:themeColor="text1" w:themeTint="D9"/>
              </w:rPr>
              <w:t xml:space="preserve"> </w:t>
            </w:r>
            <w:r w:rsidR="00913278">
              <w:rPr>
                <w:color w:val="262626" w:themeColor="text1" w:themeTint="D9"/>
              </w:rPr>
              <w:t xml:space="preserve">stored </w:t>
            </w:r>
            <w:r w:rsidR="00A6083B" w:rsidRPr="006249E4">
              <w:rPr>
                <w:color w:val="262626" w:themeColor="text1" w:themeTint="D9"/>
              </w:rPr>
              <w:t>goods or personal documents</w:t>
            </w:r>
          </w:p>
        </w:tc>
        <w:tc>
          <w:tcPr>
            <w:tcW w:w="1275" w:type="dxa"/>
          </w:tcPr>
          <w:p w14:paraId="320C9D77" w14:textId="08B1408B" w:rsidR="00A6083B" w:rsidRPr="006249E4" w:rsidRDefault="00A6083B" w:rsidP="00D221EA">
            <w:pPr>
              <w:rPr>
                <w:color w:val="262626" w:themeColor="text1" w:themeTint="D9"/>
              </w:rPr>
            </w:pPr>
            <w:r w:rsidRPr="006249E4">
              <w:rPr>
                <w:color w:val="262626" w:themeColor="text1" w:themeTint="D9"/>
              </w:rPr>
              <w:t>498ZZZL</w:t>
            </w:r>
          </w:p>
        </w:tc>
        <w:tc>
          <w:tcPr>
            <w:tcW w:w="2268" w:type="dxa"/>
          </w:tcPr>
          <w:p w14:paraId="2901AF14" w14:textId="77777777" w:rsidR="00A6083B" w:rsidRPr="006249E4" w:rsidRDefault="00A6083B" w:rsidP="00D221EA">
            <w:pPr>
              <w:rPr>
                <w:color w:val="262626" w:themeColor="text1" w:themeTint="D9"/>
              </w:rPr>
            </w:pPr>
          </w:p>
        </w:tc>
        <w:tc>
          <w:tcPr>
            <w:tcW w:w="2552" w:type="dxa"/>
          </w:tcPr>
          <w:p w14:paraId="40A66BBB" w14:textId="77777777" w:rsidR="00A6083B" w:rsidRPr="006249E4" w:rsidRDefault="00A6083B" w:rsidP="00D221EA">
            <w:pPr>
              <w:rPr>
                <w:color w:val="262626" w:themeColor="text1" w:themeTint="D9"/>
              </w:rPr>
            </w:pPr>
          </w:p>
        </w:tc>
      </w:tr>
      <w:tr w:rsidR="001D60D7" w:rsidRPr="009F5E23" w14:paraId="56058904" w14:textId="77777777" w:rsidTr="006249E4">
        <w:trPr>
          <w:cnfStyle w:val="000000100000" w:firstRow="0" w:lastRow="0" w:firstColumn="0" w:lastColumn="0" w:oddVBand="0" w:evenVBand="0" w:oddHBand="1" w:evenHBand="0" w:firstRowFirstColumn="0" w:firstRowLastColumn="0" w:lastRowFirstColumn="0" w:lastRowLastColumn="0"/>
        </w:trPr>
        <w:tc>
          <w:tcPr>
            <w:tcW w:w="3045" w:type="dxa"/>
          </w:tcPr>
          <w:p w14:paraId="68D20FDF" w14:textId="671F189E" w:rsidR="00A6083B" w:rsidRPr="006249E4" w:rsidRDefault="00913278" w:rsidP="006249E4">
            <w:pPr>
              <w:widowControl/>
              <w:autoSpaceDE/>
              <w:autoSpaceDN/>
              <w:spacing w:after="160" w:line="259" w:lineRule="auto"/>
              <w:contextualSpacing/>
              <w:rPr>
                <w:color w:val="262626" w:themeColor="text1" w:themeTint="D9"/>
              </w:rPr>
            </w:pPr>
            <w:r>
              <w:rPr>
                <w:color w:val="262626" w:themeColor="text1" w:themeTint="D9"/>
              </w:rPr>
              <w:t>Order the owner of the dwelling</w:t>
            </w:r>
            <w:r w:rsidR="00A6083B" w:rsidRPr="006249E4">
              <w:rPr>
                <w:color w:val="262626" w:themeColor="text1" w:themeTint="D9"/>
              </w:rPr>
              <w:t xml:space="preserve"> to store </w:t>
            </w:r>
            <w:r>
              <w:rPr>
                <w:color w:val="262626" w:themeColor="text1" w:themeTint="D9"/>
              </w:rPr>
              <w:t xml:space="preserve">goods for </w:t>
            </w:r>
            <w:r w:rsidR="00AA0BA9">
              <w:rPr>
                <w:color w:val="262626" w:themeColor="text1" w:themeTint="D9"/>
              </w:rPr>
              <w:t>more than</w:t>
            </w:r>
            <w:r>
              <w:rPr>
                <w:color w:val="262626" w:themeColor="text1" w:themeTint="D9"/>
              </w:rPr>
              <w:t xml:space="preserve"> 14 days</w:t>
            </w:r>
          </w:p>
        </w:tc>
        <w:tc>
          <w:tcPr>
            <w:tcW w:w="1275" w:type="dxa"/>
          </w:tcPr>
          <w:p w14:paraId="5DB7BA19" w14:textId="55264753" w:rsidR="00A6083B" w:rsidRPr="006249E4" w:rsidRDefault="00A6083B" w:rsidP="00D221EA">
            <w:pPr>
              <w:rPr>
                <w:color w:val="262626" w:themeColor="text1" w:themeTint="D9"/>
              </w:rPr>
            </w:pPr>
            <w:r w:rsidRPr="006249E4">
              <w:rPr>
                <w:color w:val="262626" w:themeColor="text1" w:themeTint="D9"/>
              </w:rPr>
              <w:t>498ZZZM</w:t>
            </w:r>
          </w:p>
        </w:tc>
        <w:tc>
          <w:tcPr>
            <w:tcW w:w="2268" w:type="dxa"/>
          </w:tcPr>
          <w:p w14:paraId="6C6B33FC" w14:textId="77777777" w:rsidR="00A6083B" w:rsidRPr="006249E4" w:rsidRDefault="00A6083B" w:rsidP="00D221EA">
            <w:pPr>
              <w:rPr>
                <w:color w:val="262626" w:themeColor="text1" w:themeTint="D9"/>
              </w:rPr>
            </w:pPr>
          </w:p>
        </w:tc>
        <w:tc>
          <w:tcPr>
            <w:tcW w:w="2552" w:type="dxa"/>
          </w:tcPr>
          <w:p w14:paraId="67B641C1" w14:textId="77777777" w:rsidR="00A6083B" w:rsidRPr="006249E4" w:rsidRDefault="00A6083B" w:rsidP="00D221EA">
            <w:pPr>
              <w:rPr>
                <w:color w:val="262626" w:themeColor="text1" w:themeTint="D9"/>
              </w:rPr>
            </w:pPr>
          </w:p>
        </w:tc>
      </w:tr>
      <w:tr w:rsidR="008334E5" w:rsidRPr="009F5E23" w14:paraId="32565C38" w14:textId="77777777" w:rsidTr="006249E4">
        <w:tc>
          <w:tcPr>
            <w:tcW w:w="3045" w:type="dxa"/>
          </w:tcPr>
          <w:p w14:paraId="1FF0DCED" w14:textId="34E9C8F6" w:rsidR="008334E5" w:rsidRDefault="00F07883" w:rsidP="006249E4">
            <w:pPr>
              <w:widowControl/>
              <w:autoSpaceDE/>
              <w:autoSpaceDN/>
              <w:spacing w:after="160" w:line="259" w:lineRule="auto"/>
              <w:contextualSpacing/>
              <w:rPr>
                <w:color w:val="262626" w:themeColor="text1" w:themeTint="D9"/>
              </w:rPr>
            </w:pPr>
            <w:r>
              <w:rPr>
                <w:color w:val="262626" w:themeColor="text1" w:themeTint="D9"/>
              </w:rPr>
              <w:t>Extend the time for execution of a warrant of possession</w:t>
            </w:r>
          </w:p>
        </w:tc>
        <w:tc>
          <w:tcPr>
            <w:tcW w:w="1275" w:type="dxa"/>
          </w:tcPr>
          <w:p w14:paraId="765837CD" w14:textId="34327E86" w:rsidR="008334E5" w:rsidRPr="006249E4" w:rsidRDefault="00F07883" w:rsidP="00D221EA">
            <w:pPr>
              <w:rPr>
                <w:color w:val="262626" w:themeColor="text1" w:themeTint="D9"/>
              </w:rPr>
            </w:pPr>
            <w:r>
              <w:rPr>
                <w:color w:val="262626" w:themeColor="text1" w:themeTint="D9"/>
              </w:rPr>
              <w:t>498ZZQ</w:t>
            </w:r>
          </w:p>
        </w:tc>
        <w:tc>
          <w:tcPr>
            <w:tcW w:w="2268" w:type="dxa"/>
          </w:tcPr>
          <w:p w14:paraId="3161AD28" w14:textId="77777777" w:rsidR="008334E5" w:rsidRPr="006249E4" w:rsidRDefault="008334E5" w:rsidP="00D221EA">
            <w:pPr>
              <w:rPr>
                <w:color w:val="262626" w:themeColor="text1" w:themeTint="D9"/>
              </w:rPr>
            </w:pPr>
          </w:p>
        </w:tc>
        <w:tc>
          <w:tcPr>
            <w:tcW w:w="2552" w:type="dxa"/>
          </w:tcPr>
          <w:p w14:paraId="0B3CB0C6" w14:textId="1123AD97" w:rsidR="008334E5" w:rsidRPr="006249E4" w:rsidRDefault="00F07883" w:rsidP="00D221EA">
            <w:pPr>
              <w:rPr>
                <w:color w:val="262626" w:themeColor="text1" w:themeTint="D9"/>
              </w:rPr>
            </w:pPr>
            <w:r>
              <w:t>Apply within the time the warrant can be executed</w:t>
            </w:r>
          </w:p>
        </w:tc>
      </w:tr>
      <w:tr w:rsidR="00F07883" w:rsidRPr="009F5E23" w14:paraId="618B6818" w14:textId="77777777" w:rsidTr="006249E4">
        <w:trPr>
          <w:cnfStyle w:val="000000100000" w:firstRow="0" w:lastRow="0" w:firstColumn="0" w:lastColumn="0" w:oddVBand="0" w:evenVBand="0" w:oddHBand="1" w:evenHBand="0" w:firstRowFirstColumn="0" w:firstRowLastColumn="0" w:lastRowFirstColumn="0" w:lastRowLastColumn="0"/>
        </w:trPr>
        <w:tc>
          <w:tcPr>
            <w:tcW w:w="3045" w:type="dxa"/>
          </w:tcPr>
          <w:p w14:paraId="1F813DA4" w14:textId="3E689683" w:rsidR="00F07883" w:rsidRDefault="00F07883" w:rsidP="006249E4">
            <w:pPr>
              <w:widowControl/>
              <w:autoSpaceDE/>
              <w:autoSpaceDN/>
              <w:spacing w:after="160" w:line="259" w:lineRule="auto"/>
              <w:contextualSpacing/>
              <w:rPr>
                <w:color w:val="262626" w:themeColor="text1" w:themeTint="D9"/>
              </w:rPr>
            </w:pPr>
            <w:r>
              <w:rPr>
                <w:color w:val="262626" w:themeColor="text1" w:themeTint="D9"/>
              </w:rPr>
              <w:t xml:space="preserve">Order a warrant to be issued without delay </w:t>
            </w:r>
            <w:r>
              <w:rPr>
                <w:color w:val="262626" w:themeColor="text1" w:themeTint="D9"/>
              </w:rPr>
              <w:lastRenderedPageBreak/>
              <w:t xml:space="preserve">because the resident failed to pay rent </w:t>
            </w:r>
            <w:r w:rsidR="00EB319F">
              <w:rPr>
                <w:color w:val="262626" w:themeColor="text1" w:themeTint="D9"/>
              </w:rPr>
              <w:t>while issue of the warrant was postponed</w:t>
            </w:r>
          </w:p>
        </w:tc>
        <w:tc>
          <w:tcPr>
            <w:tcW w:w="1275" w:type="dxa"/>
          </w:tcPr>
          <w:p w14:paraId="3C26864F" w14:textId="3A9EC081" w:rsidR="00F07883" w:rsidRDefault="00EB319F" w:rsidP="00D221EA">
            <w:pPr>
              <w:rPr>
                <w:color w:val="262626" w:themeColor="text1" w:themeTint="D9"/>
              </w:rPr>
            </w:pPr>
            <w:r>
              <w:rPr>
                <w:color w:val="262626" w:themeColor="text1" w:themeTint="D9"/>
              </w:rPr>
              <w:lastRenderedPageBreak/>
              <w:t>498ZZV</w:t>
            </w:r>
          </w:p>
        </w:tc>
        <w:tc>
          <w:tcPr>
            <w:tcW w:w="2268" w:type="dxa"/>
          </w:tcPr>
          <w:p w14:paraId="2CFB5459" w14:textId="77777777" w:rsidR="00F07883" w:rsidRPr="006249E4" w:rsidRDefault="00F07883" w:rsidP="00D221EA">
            <w:pPr>
              <w:rPr>
                <w:color w:val="262626" w:themeColor="text1" w:themeTint="D9"/>
              </w:rPr>
            </w:pPr>
          </w:p>
        </w:tc>
        <w:tc>
          <w:tcPr>
            <w:tcW w:w="2552" w:type="dxa"/>
          </w:tcPr>
          <w:p w14:paraId="40DFB765" w14:textId="77777777" w:rsidR="00F07883" w:rsidRDefault="00F07883" w:rsidP="00D221EA"/>
        </w:tc>
      </w:tr>
      <w:tr w:rsidR="00EB319F" w:rsidRPr="009F5E23" w14:paraId="38D7CDF6" w14:textId="77777777" w:rsidTr="006249E4">
        <w:tc>
          <w:tcPr>
            <w:tcW w:w="3045" w:type="dxa"/>
          </w:tcPr>
          <w:p w14:paraId="20A8A2A5" w14:textId="0EB5C4A8" w:rsidR="00EB319F" w:rsidRDefault="00EB319F" w:rsidP="006249E4">
            <w:pPr>
              <w:widowControl/>
              <w:autoSpaceDE/>
              <w:autoSpaceDN/>
              <w:spacing w:after="160" w:line="259" w:lineRule="auto"/>
              <w:contextualSpacing/>
              <w:rPr>
                <w:color w:val="262626" w:themeColor="text1" w:themeTint="D9"/>
              </w:rPr>
            </w:pPr>
            <w:r>
              <w:rPr>
                <w:color w:val="262626" w:themeColor="text1" w:themeTint="D9"/>
              </w:rPr>
              <w:t>Order that the SDA dwelling can be relet before the end of 6 months after a notice to vacate</w:t>
            </w:r>
          </w:p>
        </w:tc>
        <w:tc>
          <w:tcPr>
            <w:tcW w:w="1275" w:type="dxa"/>
          </w:tcPr>
          <w:p w14:paraId="007456DB" w14:textId="24FAEB53" w:rsidR="00EB319F" w:rsidRDefault="00EB319F" w:rsidP="00D221EA">
            <w:pPr>
              <w:rPr>
                <w:color w:val="262626" w:themeColor="text1" w:themeTint="D9"/>
              </w:rPr>
            </w:pPr>
            <w:r>
              <w:rPr>
                <w:color w:val="262626" w:themeColor="text1" w:themeTint="D9"/>
              </w:rPr>
              <w:t>498ZZZPA(2)</w:t>
            </w:r>
          </w:p>
        </w:tc>
        <w:tc>
          <w:tcPr>
            <w:tcW w:w="2268" w:type="dxa"/>
          </w:tcPr>
          <w:p w14:paraId="0A34CAE8" w14:textId="77777777" w:rsidR="00EB319F" w:rsidRPr="006249E4" w:rsidRDefault="00EB319F" w:rsidP="00D221EA">
            <w:pPr>
              <w:rPr>
                <w:color w:val="262626" w:themeColor="text1" w:themeTint="D9"/>
              </w:rPr>
            </w:pPr>
          </w:p>
        </w:tc>
        <w:tc>
          <w:tcPr>
            <w:tcW w:w="2552" w:type="dxa"/>
          </w:tcPr>
          <w:p w14:paraId="2658D45D" w14:textId="77777777" w:rsidR="00EB319F" w:rsidRDefault="00EB319F" w:rsidP="00D221EA"/>
        </w:tc>
      </w:tr>
      <w:tr w:rsidR="00EB319F" w:rsidRPr="009F5E23" w14:paraId="46C0CBEC" w14:textId="77777777" w:rsidTr="006249E4">
        <w:trPr>
          <w:cnfStyle w:val="000000100000" w:firstRow="0" w:lastRow="0" w:firstColumn="0" w:lastColumn="0" w:oddVBand="0" w:evenVBand="0" w:oddHBand="1" w:evenHBand="0" w:firstRowFirstColumn="0" w:firstRowLastColumn="0" w:lastRowFirstColumn="0" w:lastRowLastColumn="0"/>
        </w:trPr>
        <w:tc>
          <w:tcPr>
            <w:tcW w:w="3045" w:type="dxa"/>
          </w:tcPr>
          <w:p w14:paraId="2D0BFA47" w14:textId="1C00727B" w:rsidR="00EB319F" w:rsidRDefault="00EB319F" w:rsidP="006249E4">
            <w:pPr>
              <w:widowControl/>
              <w:autoSpaceDE/>
              <w:autoSpaceDN/>
              <w:spacing w:after="160" w:line="259" w:lineRule="auto"/>
              <w:contextualSpacing/>
              <w:rPr>
                <w:color w:val="262626" w:themeColor="text1" w:themeTint="D9"/>
              </w:rPr>
            </w:pPr>
            <w:r>
              <w:rPr>
                <w:color w:val="262626" w:themeColor="text1" w:themeTint="D9"/>
              </w:rPr>
              <w:t>Determine a general dispute about an SDA</w:t>
            </w:r>
            <w:r w:rsidR="00031410">
              <w:rPr>
                <w:color w:val="262626" w:themeColor="text1" w:themeTint="D9"/>
              </w:rPr>
              <w:t xml:space="preserve"> </w:t>
            </w:r>
            <w:r>
              <w:rPr>
                <w:color w:val="262626" w:themeColor="text1" w:themeTint="D9"/>
              </w:rPr>
              <w:t>dwelling or agreement</w:t>
            </w:r>
          </w:p>
        </w:tc>
        <w:tc>
          <w:tcPr>
            <w:tcW w:w="1275" w:type="dxa"/>
          </w:tcPr>
          <w:p w14:paraId="3F8D38C7" w14:textId="2B38FE61" w:rsidR="00EB319F" w:rsidRDefault="00EB319F" w:rsidP="00D221EA">
            <w:pPr>
              <w:rPr>
                <w:color w:val="262626" w:themeColor="text1" w:themeTint="D9"/>
              </w:rPr>
            </w:pPr>
            <w:r>
              <w:rPr>
                <w:color w:val="262626" w:themeColor="text1" w:themeTint="D9"/>
              </w:rPr>
              <w:t>452(3B)</w:t>
            </w:r>
          </w:p>
        </w:tc>
        <w:tc>
          <w:tcPr>
            <w:tcW w:w="2268" w:type="dxa"/>
          </w:tcPr>
          <w:p w14:paraId="27C812F8" w14:textId="77777777" w:rsidR="00EB319F" w:rsidRPr="006249E4" w:rsidRDefault="00EB319F" w:rsidP="00D221EA">
            <w:pPr>
              <w:rPr>
                <w:color w:val="262626" w:themeColor="text1" w:themeTint="D9"/>
              </w:rPr>
            </w:pPr>
          </w:p>
        </w:tc>
        <w:tc>
          <w:tcPr>
            <w:tcW w:w="2552" w:type="dxa"/>
          </w:tcPr>
          <w:p w14:paraId="418C846B" w14:textId="77777777" w:rsidR="00EB319F" w:rsidRDefault="00EB319F" w:rsidP="00D221EA"/>
        </w:tc>
      </w:tr>
    </w:tbl>
    <w:bookmarkEnd w:id="0"/>
    <w:p w14:paraId="05028CC9" w14:textId="5DECF4A0" w:rsidR="00BA787A" w:rsidRPr="009F5E23" w:rsidRDefault="00152D89" w:rsidP="006249E4">
      <w:pPr>
        <w:pStyle w:val="Heading2"/>
      </w:pPr>
      <w:r>
        <w:t xml:space="preserve">Provide a copy of your application to </w:t>
      </w:r>
      <w:r w:rsidR="00173FAA">
        <w:t>other parties</w:t>
      </w:r>
    </w:p>
    <w:p w14:paraId="664CE534" w14:textId="39FFC121" w:rsidR="00BA787A" w:rsidRPr="009F5E23" w:rsidRDefault="00BA787A" w:rsidP="00BA787A">
      <w:pPr>
        <w:spacing w:before="240"/>
        <w:rPr>
          <w:color w:val="262626" w:themeColor="text1" w:themeTint="D9"/>
        </w:rPr>
      </w:pPr>
      <w:r w:rsidRPr="006249E4">
        <w:rPr>
          <w:color w:val="262626" w:themeColor="text1" w:themeTint="D9"/>
        </w:rPr>
        <w:t xml:space="preserve">You must send </w:t>
      </w:r>
      <w:r w:rsidR="00152D89">
        <w:rPr>
          <w:color w:val="262626" w:themeColor="text1" w:themeTint="D9"/>
        </w:rPr>
        <w:t xml:space="preserve">(serve) </w:t>
      </w:r>
      <w:r w:rsidRPr="006249E4">
        <w:rPr>
          <w:color w:val="262626" w:themeColor="text1" w:themeTint="D9"/>
        </w:rPr>
        <w:t>a copy of your application</w:t>
      </w:r>
      <w:r w:rsidR="00152D89">
        <w:rPr>
          <w:color w:val="262626" w:themeColor="text1" w:themeTint="D9"/>
        </w:rPr>
        <w:t xml:space="preserve"> and supporting documents</w:t>
      </w:r>
      <w:r w:rsidRPr="006249E4">
        <w:rPr>
          <w:color w:val="262626" w:themeColor="text1" w:themeTint="D9"/>
        </w:rPr>
        <w:t xml:space="preserve"> to other parties. You can only send documents to other parties by email if you have already exchanged information with them this way. Otherwise, send documents by post or give them in person.</w:t>
      </w:r>
    </w:p>
    <w:p w14:paraId="34DF76C7" w14:textId="40160361" w:rsidR="00226DDB" w:rsidRPr="006249E4" w:rsidRDefault="00226DDB" w:rsidP="00BA787A">
      <w:pPr>
        <w:spacing w:before="240"/>
        <w:rPr>
          <w:color w:val="262626" w:themeColor="text1" w:themeTint="D9"/>
        </w:rPr>
      </w:pPr>
      <w:r w:rsidRPr="009F5E23">
        <w:rPr>
          <w:color w:val="262626" w:themeColor="text1" w:themeTint="D9"/>
        </w:rPr>
        <w:t xml:space="preserve">You must give the application form and </w:t>
      </w:r>
      <w:r w:rsidR="008B6084">
        <w:rPr>
          <w:color w:val="262626" w:themeColor="text1" w:themeTint="D9"/>
        </w:rPr>
        <w:t>supporting</w:t>
      </w:r>
      <w:r w:rsidRPr="009F5E23">
        <w:rPr>
          <w:color w:val="262626" w:themeColor="text1" w:themeTint="D9"/>
        </w:rPr>
        <w:t xml:space="preserve"> documents to the other parties within 7 days of lodging the application.</w:t>
      </w:r>
    </w:p>
    <w:p w14:paraId="11222528" w14:textId="319BD7C0" w:rsidR="00173FAA" w:rsidRPr="006249E4" w:rsidRDefault="00173FAA" w:rsidP="00BA787A">
      <w:pPr>
        <w:spacing w:before="240"/>
        <w:rPr>
          <w:color w:val="262626" w:themeColor="text1" w:themeTint="D9"/>
        </w:rPr>
      </w:pPr>
      <w:r>
        <w:rPr>
          <w:color w:val="262626" w:themeColor="text1" w:themeTint="D9"/>
        </w:rPr>
        <w:t xml:space="preserve">If you are a person with disability, VCAT can send a copy of your application and supporting documents to the other parties on your behalf. You must indicate you want us to </w:t>
      </w:r>
      <w:r w:rsidR="005A2894">
        <w:rPr>
          <w:color w:val="262626" w:themeColor="text1" w:themeTint="D9"/>
        </w:rPr>
        <w:t xml:space="preserve">do </w:t>
      </w:r>
      <w:r>
        <w:rPr>
          <w:color w:val="262626" w:themeColor="text1" w:themeTint="D9"/>
        </w:rPr>
        <w:t xml:space="preserve">this on the application form.  </w:t>
      </w:r>
    </w:p>
    <w:p w14:paraId="51D37123" w14:textId="5C37BBB0" w:rsidR="00590A82" w:rsidRPr="00590A82" w:rsidRDefault="00297006" w:rsidP="00590A82">
      <w:pPr>
        <w:spacing w:before="240"/>
        <w:rPr>
          <w:color w:val="262626" w:themeColor="text1" w:themeTint="D9"/>
        </w:rPr>
      </w:pPr>
      <w:r w:rsidRPr="009F5E23">
        <w:rPr>
          <w:color w:val="262626" w:themeColor="text1" w:themeTint="D9"/>
        </w:rPr>
        <w:t xml:space="preserve">If another party lives interstate, you must take additional steps </w:t>
      </w:r>
      <w:r w:rsidR="003F5A31">
        <w:rPr>
          <w:color w:val="262626" w:themeColor="text1" w:themeTint="D9"/>
        </w:rPr>
        <w:t>before</w:t>
      </w:r>
      <w:r w:rsidRPr="009F5E23">
        <w:rPr>
          <w:color w:val="262626" w:themeColor="text1" w:themeTint="D9"/>
        </w:rPr>
        <w:t xml:space="preserve"> </w:t>
      </w:r>
      <w:r w:rsidR="005A2894">
        <w:rPr>
          <w:color w:val="262626" w:themeColor="text1" w:themeTint="D9"/>
        </w:rPr>
        <w:t>serving</w:t>
      </w:r>
      <w:r w:rsidRPr="009F5E23">
        <w:rPr>
          <w:color w:val="262626" w:themeColor="text1" w:themeTint="D9"/>
        </w:rPr>
        <w:t xml:space="preserve"> an application on </w:t>
      </w:r>
      <w:r w:rsidR="003F5A31">
        <w:rPr>
          <w:color w:val="262626" w:themeColor="text1" w:themeTint="D9"/>
        </w:rPr>
        <w:t>that party</w:t>
      </w:r>
      <w:r w:rsidRPr="009F5E23">
        <w:rPr>
          <w:color w:val="262626" w:themeColor="text1" w:themeTint="D9"/>
        </w:rPr>
        <w:t xml:space="preserve">. </w:t>
      </w:r>
      <w:r w:rsidR="003F5A31">
        <w:rPr>
          <w:color w:val="262626" w:themeColor="text1" w:themeTint="D9"/>
        </w:rPr>
        <w:t xml:space="preserve">For more information on these requirements, go to </w:t>
      </w:r>
      <w:hyperlink r:id="rId19" w:history="1">
        <w:r w:rsidR="003F5A31" w:rsidRPr="006249E4">
          <w:rPr>
            <w:rStyle w:val="Hyperlink"/>
            <w:color w:val="auto"/>
            <w:u w:val="none"/>
          </w:rPr>
          <w:t>www.vcat.vic.gov.au/form4</w:t>
        </w:r>
      </w:hyperlink>
      <w:r w:rsidR="003F5A31">
        <w:rPr>
          <w:color w:val="262626" w:themeColor="text1" w:themeTint="D9"/>
        </w:rPr>
        <w:t xml:space="preserve">. </w:t>
      </w:r>
    </w:p>
    <w:p w14:paraId="3876BFE5" w14:textId="1CCA6CE1" w:rsidR="00590A82" w:rsidRPr="009F5E23" w:rsidRDefault="00590A82" w:rsidP="00590A82">
      <w:pPr>
        <w:pStyle w:val="Heading2"/>
      </w:pPr>
      <w:r w:rsidRPr="009F5E23">
        <w:t xml:space="preserve">What happens </w:t>
      </w:r>
      <w:r>
        <w:t>after lodging an application</w:t>
      </w:r>
      <w:r w:rsidRPr="009F5E23">
        <w:t>?</w:t>
      </w:r>
    </w:p>
    <w:p w14:paraId="1A3AA115" w14:textId="77777777" w:rsidR="00590A82" w:rsidRDefault="00590A82" w:rsidP="00590A82">
      <w:pPr>
        <w:pStyle w:val="Default"/>
        <w:rPr>
          <w:sz w:val="22"/>
          <w:szCs w:val="22"/>
        </w:rPr>
      </w:pPr>
      <w:r>
        <w:rPr>
          <w:sz w:val="22"/>
          <w:szCs w:val="22"/>
        </w:rPr>
        <w:t xml:space="preserve">After we receive your application and open a VCAT case, we will send you and all other parties a Notice of Hearing. The notice will tell you the venue, time and date you must come to the hearing. </w:t>
      </w:r>
    </w:p>
    <w:p w14:paraId="495A1F4F" w14:textId="77777777" w:rsidR="005A2894" w:rsidRDefault="005A2894" w:rsidP="00590A82">
      <w:pPr>
        <w:pStyle w:val="Default"/>
        <w:spacing w:before="300" w:after="60"/>
        <w:ind w:right="170"/>
        <w:rPr>
          <w:sz w:val="22"/>
          <w:szCs w:val="22"/>
        </w:rPr>
      </w:pPr>
      <w:r>
        <w:rPr>
          <w:sz w:val="22"/>
          <w:szCs w:val="22"/>
        </w:rPr>
        <w:t>Make sure you bring to the hearing:</w:t>
      </w:r>
    </w:p>
    <w:p w14:paraId="4943FFED" w14:textId="5A8AE37C" w:rsidR="005A2894" w:rsidRDefault="00590A82" w:rsidP="005A2894">
      <w:pPr>
        <w:pStyle w:val="Default"/>
        <w:numPr>
          <w:ilvl w:val="0"/>
          <w:numId w:val="19"/>
        </w:numPr>
        <w:spacing w:before="300" w:after="60"/>
        <w:ind w:right="170"/>
        <w:rPr>
          <w:sz w:val="22"/>
          <w:szCs w:val="22"/>
        </w:rPr>
      </w:pPr>
      <w:r>
        <w:rPr>
          <w:sz w:val="22"/>
          <w:szCs w:val="22"/>
        </w:rPr>
        <w:t>a copy of your application form</w:t>
      </w:r>
      <w:r w:rsidR="005A2894">
        <w:rPr>
          <w:sz w:val="22"/>
          <w:szCs w:val="22"/>
        </w:rPr>
        <w:t>, including all documents you attached to your application</w:t>
      </w:r>
    </w:p>
    <w:p w14:paraId="3F6D1488" w14:textId="77777777" w:rsidR="00F41144" w:rsidRDefault="005A2894" w:rsidP="005A2894">
      <w:pPr>
        <w:pStyle w:val="Default"/>
        <w:numPr>
          <w:ilvl w:val="0"/>
          <w:numId w:val="19"/>
        </w:numPr>
        <w:spacing w:before="300" w:after="60"/>
        <w:ind w:right="170"/>
        <w:rPr>
          <w:sz w:val="22"/>
          <w:szCs w:val="22"/>
        </w:rPr>
      </w:pPr>
      <w:r>
        <w:rPr>
          <w:sz w:val="22"/>
          <w:szCs w:val="22"/>
        </w:rPr>
        <w:t>all documents and evidence you have to support your case</w:t>
      </w:r>
    </w:p>
    <w:p w14:paraId="62DD38E8" w14:textId="71A9D647" w:rsidR="005A2894" w:rsidRDefault="00F41144" w:rsidP="005A2894">
      <w:pPr>
        <w:pStyle w:val="Default"/>
        <w:numPr>
          <w:ilvl w:val="0"/>
          <w:numId w:val="19"/>
        </w:numPr>
        <w:spacing w:before="300" w:after="60"/>
        <w:ind w:right="170"/>
        <w:rPr>
          <w:sz w:val="22"/>
          <w:szCs w:val="22"/>
        </w:rPr>
      </w:pPr>
      <w:r>
        <w:rPr>
          <w:sz w:val="22"/>
          <w:szCs w:val="22"/>
        </w:rPr>
        <w:t>proof you have sent relevant documents to the other party</w:t>
      </w:r>
      <w:r w:rsidR="005A2894">
        <w:rPr>
          <w:sz w:val="22"/>
          <w:szCs w:val="22"/>
        </w:rPr>
        <w:t>.</w:t>
      </w:r>
    </w:p>
    <w:p w14:paraId="01ECA3C9" w14:textId="77777777" w:rsidR="00590A82" w:rsidRPr="00590A82" w:rsidRDefault="00590A82" w:rsidP="00590A82">
      <w:pPr>
        <w:pStyle w:val="Heading2"/>
        <w:rPr>
          <w:b w:val="0"/>
          <w:sz w:val="22"/>
        </w:rPr>
      </w:pPr>
      <w:r w:rsidRPr="00590A82">
        <w:rPr>
          <w:b w:val="0"/>
          <w:sz w:val="22"/>
        </w:rPr>
        <w:t xml:space="preserve">Contact us if you do not hear from us within two weeks of submitting your application. </w:t>
      </w:r>
    </w:p>
    <w:p w14:paraId="0832F519" w14:textId="3E73F78D" w:rsidR="00173FAA" w:rsidRDefault="00173FAA" w:rsidP="00590A82">
      <w:pPr>
        <w:pStyle w:val="Heading2"/>
      </w:pPr>
      <w:r>
        <w:t>Communicating with VCAT and other parties</w:t>
      </w:r>
    </w:p>
    <w:p w14:paraId="4407E89F" w14:textId="77777777" w:rsidR="00173FAA" w:rsidRPr="00A7410A" w:rsidRDefault="00173FAA" w:rsidP="00173FAA">
      <w:pPr>
        <w:spacing w:before="240"/>
        <w:rPr>
          <w:color w:val="262626" w:themeColor="text1" w:themeTint="D9"/>
        </w:rPr>
      </w:pPr>
      <w:r w:rsidRPr="00A7410A">
        <w:rPr>
          <w:color w:val="262626" w:themeColor="text1" w:themeTint="D9"/>
        </w:rPr>
        <w:t>If you write to VCAT</w:t>
      </w:r>
      <w:r>
        <w:rPr>
          <w:color w:val="262626" w:themeColor="text1" w:themeTint="D9"/>
        </w:rPr>
        <w:t xml:space="preserve"> after you have lodged your application</w:t>
      </w:r>
      <w:r w:rsidRPr="00A7410A">
        <w:rPr>
          <w:color w:val="262626" w:themeColor="text1" w:themeTint="D9"/>
        </w:rPr>
        <w:t xml:space="preserve">, </w:t>
      </w:r>
      <w:r>
        <w:rPr>
          <w:color w:val="262626" w:themeColor="text1" w:themeTint="D9"/>
        </w:rPr>
        <w:t>you must also send a copy of the correspondence to the other parties. State your</w:t>
      </w:r>
      <w:r w:rsidRPr="00A7410A">
        <w:rPr>
          <w:color w:val="262626" w:themeColor="text1" w:themeTint="D9"/>
        </w:rPr>
        <w:t xml:space="preserve"> VCAT reference number</w:t>
      </w:r>
      <w:r>
        <w:rPr>
          <w:color w:val="262626" w:themeColor="text1" w:themeTint="D9"/>
        </w:rPr>
        <w:t xml:space="preserve"> when communicating with VCAT.</w:t>
      </w:r>
    </w:p>
    <w:p w14:paraId="7E1D8C30" w14:textId="6A240058" w:rsidR="00A10D2F" w:rsidRPr="009F5E23" w:rsidRDefault="00A10D2F" w:rsidP="00590A82">
      <w:pPr>
        <w:pStyle w:val="BodyText"/>
        <w:spacing w:before="1"/>
      </w:pPr>
    </w:p>
    <w:sectPr w:rsidR="00A10D2F" w:rsidRPr="009F5E23" w:rsidSect="006249E4">
      <w:type w:val="continuous"/>
      <w:pgSz w:w="11910" w:h="16840"/>
      <w:pgMar w:top="700" w:right="1560" w:bottom="1620" w:left="1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D8A58" w14:textId="77777777" w:rsidR="00B30125" w:rsidRDefault="00B30125">
      <w:r>
        <w:separator/>
      </w:r>
    </w:p>
  </w:endnote>
  <w:endnote w:type="continuationSeparator" w:id="0">
    <w:p w14:paraId="65572E6D" w14:textId="77777777" w:rsidR="00B30125" w:rsidRDefault="00B3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C5E5" w14:textId="77777777" w:rsidR="009F5E23" w:rsidRDefault="009F5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E2DF" w14:textId="77777777" w:rsidR="009F5E23" w:rsidRDefault="009F5E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44CF" w14:textId="77777777" w:rsidR="009F5E23" w:rsidRDefault="009F5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4ED61" w14:textId="77777777" w:rsidR="00B30125" w:rsidRDefault="00B30125">
      <w:r>
        <w:separator/>
      </w:r>
    </w:p>
  </w:footnote>
  <w:footnote w:type="continuationSeparator" w:id="0">
    <w:p w14:paraId="7AF2AD3D" w14:textId="77777777" w:rsidR="00B30125" w:rsidRDefault="00B30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1EE2" w14:textId="77777777" w:rsidR="009F5E23" w:rsidRDefault="009F5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45FE" w14:textId="77777777" w:rsidR="009F5E23" w:rsidRDefault="009F5E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796C" w14:textId="77777777" w:rsidR="009F5E23" w:rsidRDefault="009F5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D00"/>
    <w:multiLevelType w:val="hybridMultilevel"/>
    <w:tmpl w:val="E632B2B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D3123"/>
    <w:multiLevelType w:val="hybridMultilevel"/>
    <w:tmpl w:val="91CCB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9A309A"/>
    <w:multiLevelType w:val="hybridMultilevel"/>
    <w:tmpl w:val="7C7AB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45419"/>
    <w:multiLevelType w:val="hybridMultilevel"/>
    <w:tmpl w:val="346A3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A857DE"/>
    <w:multiLevelType w:val="hybridMultilevel"/>
    <w:tmpl w:val="53B84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C04EB4"/>
    <w:multiLevelType w:val="hybridMultilevel"/>
    <w:tmpl w:val="28F0D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7A60D2"/>
    <w:multiLevelType w:val="hybridMultilevel"/>
    <w:tmpl w:val="54AE0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C31017"/>
    <w:multiLevelType w:val="hybridMultilevel"/>
    <w:tmpl w:val="FF76F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DE20C1"/>
    <w:multiLevelType w:val="hybridMultilevel"/>
    <w:tmpl w:val="7FF45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0B7B41"/>
    <w:multiLevelType w:val="hybridMultilevel"/>
    <w:tmpl w:val="E7625C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2F578F"/>
    <w:multiLevelType w:val="hybridMultilevel"/>
    <w:tmpl w:val="9C921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4573E9"/>
    <w:multiLevelType w:val="hybridMultilevel"/>
    <w:tmpl w:val="F5625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84431E"/>
    <w:multiLevelType w:val="hybridMultilevel"/>
    <w:tmpl w:val="35AEB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7B7E8D"/>
    <w:multiLevelType w:val="hybridMultilevel"/>
    <w:tmpl w:val="622232E0"/>
    <w:lvl w:ilvl="0" w:tplc="0C090001">
      <w:start w:val="1"/>
      <w:numFmt w:val="bullet"/>
      <w:lvlText w:val=""/>
      <w:lvlJc w:val="left"/>
      <w:pPr>
        <w:ind w:left="981" w:hanging="360"/>
      </w:pPr>
      <w:rPr>
        <w:rFonts w:ascii="Symbol" w:hAnsi="Symbol" w:hint="default"/>
      </w:rPr>
    </w:lvl>
    <w:lvl w:ilvl="1" w:tplc="0C090003" w:tentative="1">
      <w:start w:val="1"/>
      <w:numFmt w:val="bullet"/>
      <w:lvlText w:val="o"/>
      <w:lvlJc w:val="left"/>
      <w:pPr>
        <w:ind w:left="1701" w:hanging="360"/>
      </w:pPr>
      <w:rPr>
        <w:rFonts w:ascii="Courier New" w:hAnsi="Courier New" w:cs="Courier New" w:hint="default"/>
      </w:rPr>
    </w:lvl>
    <w:lvl w:ilvl="2" w:tplc="0C090005" w:tentative="1">
      <w:start w:val="1"/>
      <w:numFmt w:val="bullet"/>
      <w:lvlText w:val=""/>
      <w:lvlJc w:val="left"/>
      <w:pPr>
        <w:ind w:left="2421" w:hanging="360"/>
      </w:pPr>
      <w:rPr>
        <w:rFonts w:ascii="Wingdings" w:hAnsi="Wingdings" w:hint="default"/>
      </w:rPr>
    </w:lvl>
    <w:lvl w:ilvl="3" w:tplc="0C090001" w:tentative="1">
      <w:start w:val="1"/>
      <w:numFmt w:val="bullet"/>
      <w:lvlText w:val=""/>
      <w:lvlJc w:val="left"/>
      <w:pPr>
        <w:ind w:left="3141" w:hanging="360"/>
      </w:pPr>
      <w:rPr>
        <w:rFonts w:ascii="Symbol" w:hAnsi="Symbol" w:hint="default"/>
      </w:rPr>
    </w:lvl>
    <w:lvl w:ilvl="4" w:tplc="0C090003" w:tentative="1">
      <w:start w:val="1"/>
      <w:numFmt w:val="bullet"/>
      <w:lvlText w:val="o"/>
      <w:lvlJc w:val="left"/>
      <w:pPr>
        <w:ind w:left="3861" w:hanging="360"/>
      </w:pPr>
      <w:rPr>
        <w:rFonts w:ascii="Courier New" w:hAnsi="Courier New" w:cs="Courier New" w:hint="default"/>
      </w:rPr>
    </w:lvl>
    <w:lvl w:ilvl="5" w:tplc="0C090005" w:tentative="1">
      <w:start w:val="1"/>
      <w:numFmt w:val="bullet"/>
      <w:lvlText w:val=""/>
      <w:lvlJc w:val="left"/>
      <w:pPr>
        <w:ind w:left="4581" w:hanging="360"/>
      </w:pPr>
      <w:rPr>
        <w:rFonts w:ascii="Wingdings" w:hAnsi="Wingdings" w:hint="default"/>
      </w:rPr>
    </w:lvl>
    <w:lvl w:ilvl="6" w:tplc="0C090001" w:tentative="1">
      <w:start w:val="1"/>
      <w:numFmt w:val="bullet"/>
      <w:lvlText w:val=""/>
      <w:lvlJc w:val="left"/>
      <w:pPr>
        <w:ind w:left="5301" w:hanging="360"/>
      </w:pPr>
      <w:rPr>
        <w:rFonts w:ascii="Symbol" w:hAnsi="Symbol" w:hint="default"/>
      </w:rPr>
    </w:lvl>
    <w:lvl w:ilvl="7" w:tplc="0C090003" w:tentative="1">
      <w:start w:val="1"/>
      <w:numFmt w:val="bullet"/>
      <w:lvlText w:val="o"/>
      <w:lvlJc w:val="left"/>
      <w:pPr>
        <w:ind w:left="6021" w:hanging="360"/>
      </w:pPr>
      <w:rPr>
        <w:rFonts w:ascii="Courier New" w:hAnsi="Courier New" w:cs="Courier New" w:hint="default"/>
      </w:rPr>
    </w:lvl>
    <w:lvl w:ilvl="8" w:tplc="0C090005" w:tentative="1">
      <w:start w:val="1"/>
      <w:numFmt w:val="bullet"/>
      <w:lvlText w:val=""/>
      <w:lvlJc w:val="left"/>
      <w:pPr>
        <w:ind w:left="6741" w:hanging="360"/>
      </w:pPr>
      <w:rPr>
        <w:rFonts w:ascii="Wingdings" w:hAnsi="Wingdings" w:hint="default"/>
      </w:rPr>
    </w:lvl>
  </w:abstractNum>
  <w:abstractNum w:abstractNumId="14" w15:restartNumberingAfterBreak="0">
    <w:nsid w:val="4C354D5A"/>
    <w:multiLevelType w:val="hybridMultilevel"/>
    <w:tmpl w:val="6D083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F34D19"/>
    <w:multiLevelType w:val="hybridMultilevel"/>
    <w:tmpl w:val="D6F8A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6D0C51"/>
    <w:multiLevelType w:val="hybridMultilevel"/>
    <w:tmpl w:val="5E94D5AC"/>
    <w:lvl w:ilvl="0" w:tplc="C1A8D8AA">
      <w:numFmt w:val="bullet"/>
      <w:lvlText w:val="•"/>
      <w:lvlJc w:val="left"/>
      <w:pPr>
        <w:ind w:left="996" w:hanging="360"/>
      </w:pPr>
      <w:rPr>
        <w:rFonts w:hint="default"/>
        <w:w w:val="100"/>
      </w:rPr>
    </w:lvl>
    <w:lvl w:ilvl="1" w:tplc="A26822B6">
      <w:numFmt w:val="bullet"/>
      <w:lvlText w:val="•"/>
      <w:lvlJc w:val="left"/>
      <w:pPr>
        <w:ind w:left="1782" w:hanging="360"/>
      </w:pPr>
      <w:rPr>
        <w:rFonts w:hint="default"/>
      </w:rPr>
    </w:lvl>
    <w:lvl w:ilvl="2" w:tplc="E6E0DE66">
      <w:numFmt w:val="bullet"/>
      <w:lvlText w:val="•"/>
      <w:lvlJc w:val="left"/>
      <w:pPr>
        <w:ind w:left="2564" w:hanging="360"/>
      </w:pPr>
      <w:rPr>
        <w:rFonts w:hint="default"/>
      </w:rPr>
    </w:lvl>
    <w:lvl w:ilvl="3" w:tplc="B1FA3F12">
      <w:numFmt w:val="bullet"/>
      <w:lvlText w:val="•"/>
      <w:lvlJc w:val="left"/>
      <w:pPr>
        <w:ind w:left="3347" w:hanging="360"/>
      </w:pPr>
      <w:rPr>
        <w:rFonts w:hint="default"/>
      </w:rPr>
    </w:lvl>
    <w:lvl w:ilvl="4" w:tplc="04907B9E">
      <w:numFmt w:val="bullet"/>
      <w:lvlText w:val="•"/>
      <w:lvlJc w:val="left"/>
      <w:pPr>
        <w:ind w:left="4129" w:hanging="360"/>
      </w:pPr>
      <w:rPr>
        <w:rFonts w:hint="default"/>
      </w:rPr>
    </w:lvl>
    <w:lvl w:ilvl="5" w:tplc="B98E156A">
      <w:numFmt w:val="bullet"/>
      <w:lvlText w:val="•"/>
      <w:lvlJc w:val="left"/>
      <w:pPr>
        <w:ind w:left="4912" w:hanging="360"/>
      </w:pPr>
      <w:rPr>
        <w:rFonts w:hint="default"/>
      </w:rPr>
    </w:lvl>
    <w:lvl w:ilvl="6" w:tplc="FB4AD0F0">
      <w:numFmt w:val="bullet"/>
      <w:lvlText w:val="•"/>
      <w:lvlJc w:val="left"/>
      <w:pPr>
        <w:ind w:left="5694" w:hanging="360"/>
      </w:pPr>
      <w:rPr>
        <w:rFonts w:hint="default"/>
      </w:rPr>
    </w:lvl>
    <w:lvl w:ilvl="7" w:tplc="443C463C">
      <w:numFmt w:val="bullet"/>
      <w:lvlText w:val="•"/>
      <w:lvlJc w:val="left"/>
      <w:pPr>
        <w:ind w:left="6477" w:hanging="360"/>
      </w:pPr>
      <w:rPr>
        <w:rFonts w:hint="default"/>
      </w:rPr>
    </w:lvl>
    <w:lvl w:ilvl="8" w:tplc="BE8EDFB8">
      <w:numFmt w:val="bullet"/>
      <w:lvlText w:val="•"/>
      <w:lvlJc w:val="left"/>
      <w:pPr>
        <w:ind w:left="7259" w:hanging="360"/>
      </w:pPr>
      <w:rPr>
        <w:rFonts w:hint="default"/>
      </w:rPr>
    </w:lvl>
  </w:abstractNum>
  <w:abstractNum w:abstractNumId="17" w15:restartNumberingAfterBreak="0">
    <w:nsid w:val="68055358"/>
    <w:multiLevelType w:val="hybridMultilevel"/>
    <w:tmpl w:val="484AA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CD16B1"/>
    <w:multiLevelType w:val="hybridMultilevel"/>
    <w:tmpl w:val="87A0A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4763557">
    <w:abstractNumId w:val="16"/>
  </w:num>
  <w:num w:numId="2" w16cid:durableId="1854688623">
    <w:abstractNumId w:val="13"/>
  </w:num>
  <w:num w:numId="3" w16cid:durableId="1219172255">
    <w:abstractNumId w:val="7"/>
  </w:num>
  <w:num w:numId="4" w16cid:durableId="2049066940">
    <w:abstractNumId w:val="9"/>
  </w:num>
  <w:num w:numId="5" w16cid:durableId="1419209063">
    <w:abstractNumId w:val="11"/>
  </w:num>
  <w:num w:numId="6" w16cid:durableId="1186361991">
    <w:abstractNumId w:val="15"/>
  </w:num>
  <w:num w:numId="7" w16cid:durableId="1405028839">
    <w:abstractNumId w:val="10"/>
  </w:num>
  <w:num w:numId="8" w16cid:durableId="909073795">
    <w:abstractNumId w:val="18"/>
  </w:num>
  <w:num w:numId="9" w16cid:durableId="781267363">
    <w:abstractNumId w:val="2"/>
  </w:num>
  <w:num w:numId="10" w16cid:durableId="1756786152">
    <w:abstractNumId w:val="4"/>
  </w:num>
  <w:num w:numId="11" w16cid:durableId="368798756">
    <w:abstractNumId w:val="12"/>
  </w:num>
  <w:num w:numId="12" w16cid:durableId="1883515978">
    <w:abstractNumId w:val="5"/>
  </w:num>
  <w:num w:numId="13" w16cid:durableId="173306843">
    <w:abstractNumId w:val="3"/>
  </w:num>
  <w:num w:numId="14" w16cid:durableId="640816501">
    <w:abstractNumId w:val="6"/>
  </w:num>
  <w:num w:numId="15" w16cid:durableId="1805349130">
    <w:abstractNumId w:val="1"/>
  </w:num>
  <w:num w:numId="16" w16cid:durableId="607346479">
    <w:abstractNumId w:val="17"/>
  </w:num>
  <w:num w:numId="17" w16cid:durableId="1842158834">
    <w:abstractNumId w:val="0"/>
  </w:num>
  <w:num w:numId="18" w16cid:durableId="199514599">
    <w:abstractNumId w:val="8"/>
  </w:num>
  <w:num w:numId="19" w16cid:durableId="10691080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009E8"/>
    <w:rsid w:val="00005F3A"/>
    <w:rsid w:val="0001641A"/>
    <w:rsid w:val="00031410"/>
    <w:rsid w:val="00033AE4"/>
    <w:rsid w:val="00070F74"/>
    <w:rsid w:val="00076A54"/>
    <w:rsid w:val="00085B55"/>
    <w:rsid w:val="00093708"/>
    <w:rsid w:val="000A05BC"/>
    <w:rsid w:val="000E430C"/>
    <w:rsid w:val="0011404F"/>
    <w:rsid w:val="00134176"/>
    <w:rsid w:val="001409C7"/>
    <w:rsid w:val="00152D89"/>
    <w:rsid w:val="00173FAA"/>
    <w:rsid w:val="00182B7D"/>
    <w:rsid w:val="00185B48"/>
    <w:rsid w:val="00186BAC"/>
    <w:rsid w:val="001A6704"/>
    <w:rsid w:val="001C1131"/>
    <w:rsid w:val="001D60D7"/>
    <w:rsid w:val="00226DDB"/>
    <w:rsid w:val="00235FF6"/>
    <w:rsid w:val="00240F7F"/>
    <w:rsid w:val="00275E4E"/>
    <w:rsid w:val="002952EB"/>
    <w:rsid w:val="00297006"/>
    <w:rsid w:val="002A2458"/>
    <w:rsid w:val="002B6E8C"/>
    <w:rsid w:val="002C4CDA"/>
    <w:rsid w:val="002C6004"/>
    <w:rsid w:val="002D55B2"/>
    <w:rsid w:val="002D5B6A"/>
    <w:rsid w:val="002F3849"/>
    <w:rsid w:val="00300A72"/>
    <w:rsid w:val="00306141"/>
    <w:rsid w:val="00315D1E"/>
    <w:rsid w:val="00347782"/>
    <w:rsid w:val="00353778"/>
    <w:rsid w:val="00397D8E"/>
    <w:rsid w:val="003A2384"/>
    <w:rsid w:val="003D5EA7"/>
    <w:rsid w:val="003E70B4"/>
    <w:rsid w:val="003F5A31"/>
    <w:rsid w:val="0044311B"/>
    <w:rsid w:val="00482E87"/>
    <w:rsid w:val="00492454"/>
    <w:rsid w:val="004938BD"/>
    <w:rsid w:val="0049679E"/>
    <w:rsid w:val="004B2B19"/>
    <w:rsid w:val="004C34B0"/>
    <w:rsid w:val="004D36D5"/>
    <w:rsid w:val="004F2389"/>
    <w:rsid w:val="00524D57"/>
    <w:rsid w:val="0053116C"/>
    <w:rsid w:val="00536A8B"/>
    <w:rsid w:val="00590A82"/>
    <w:rsid w:val="00596BD1"/>
    <w:rsid w:val="005A2894"/>
    <w:rsid w:val="005A5201"/>
    <w:rsid w:val="005E0DB0"/>
    <w:rsid w:val="005F3A96"/>
    <w:rsid w:val="00607B79"/>
    <w:rsid w:val="00616D7D"/>
    <w:rsid w:val="006249E4"/>
    <w:rsid w:val="006315CA"/>
    <w:rsid w:val="00644BE8"/>
    <w:rsid w:val="00661357"/>
    <w:rsid w:val="00674977"/>
    <w:rsid w:val="00676010"/>
    <w:rsid w:val="0068694F"/>
    <w:rsid w:val="0069122C"/>
    <w:rsid w:val="006C09B0"/>
    <w:rsid w:val="006C1674"/>
    <w:rsid w:val="006E2D17"/>
    <w:rsid w:val="006F0087"/>
    <w:rsid w:val="006F675D"/>
    <w:rsid w:val="007009E8"/>
    <w:rsid w:val="007118C4"/>
    <w:rsid w:val="0071232F"/>
    <w:rsid w:val="007424CC"/>
    <w:rsid w:val="00783748"/>
    <w:rsid w:val="007A3DC6"/>
    <w:rsid w:val="007B1A7D"/>
    <w:rsid w:val="007C6652"/>
    <w:rsid w:val="007D60C8"/>
    <w:rsid w:val="00831C12"/>
    <w:rsid w:val="008334E5"/>
    <w:rsid w:val="00836E2B"/>
    <w:rsid w:val="00850C0B"/>
    <w:rsid w:val="00870902"/>
    <w:rsid w:val="008B32F1"/>
    <w:rsid w:val="008B6084"/>
    <w:rsid w:val="008C02A2"/>
    <w:rsid w:val="00913278"/>
    <w:rsid w:val="00930EF4"/>
    <w:rsid w:val="009361E7"/>
    <w:rsid w:val="00960F02"/>
    <w:rsid w:val="00966B1A"/>
    <w:rsid w:val="00984C3C"/>
    <w:rsid w:val="009F0AC3"/>
    <w:rsid w:val="009F302C"/>
    <w:rsid w:val="009F5E23"/>
    <w:rsid w:val="009F7387"/>
    <w:rsid w:val="00A006C6"/>
    <w:rsid w:val="00A10D2F"/>
    <w:rsid w:val="00A20901"/>
    <w:rsid w:val="00A27387"/>
    <w:rsid w:val="00A304B5"/>
    <w:rsid w:val="00A35503"/>
    <w:rsid w:val="00A45D4C"/>
    <w:rsid w:val="00A53CE3"/>
    <w:rsid w:val="00A6083B"/>
    <w:rsid w:val="00A95700"/>
    <w:rsid w:val="00A97B22"/>
    <w:rsid w:val="00AA0BA9"/>
    <w:rsid w:val="00AA1D01"/>
    <w:rsid w:val="00AB4796"/>
    <w:rsid w:val="00AC549D"/>
    <w:rsid w:val="00AD65E3"/>
    <w:rsid w:val="00B1675D"/>
    <w:rsid w:val="00B23E8B"/>
    <w:rsid w:val="00B2553B"/>
    <w:rsid w:val="00B30125"/>
    <w:rsid w:val="00B46207"/>
    <w:rsid w:val="00B5796A"/>
    <w:rsid w:val="00B8591B"/>
    <w:rsid w:val="00B87040"/>
    <w:rsid w:val="00B92AAD"/>
    <w:rsid w:val="00B96AC6"/>
    <w:rsid w:val="00BA787A"/>
    <w:rsid w:val="00BD3575"/>
    <w:rsid w:val="00C00FEA"/>
    <w:rsid w:val="00C02EF7"/>
    <w:rsid w:val="00C215C6"/>
    <w:rsid w:val="00C65016"/>
    <w:rsid w:val="00C955C3"/>
    <w:rsid w:val="00CD1C36"/>
    <w:rsid w:val="00CF05C6"/>
    <w:rsid w:val="00D01107"/>
    <w:rsid w:val="00D221EA"/>
    <w:rsid w:val="00D2591E"/>
    <w:rsid w:val="00D71DAB"/>
    <w:rsid w:val="00DA1308"/>
    <w:rsid w:val="00DC4378"/>
    <w:rsid w:val="00DE7E5F"/>
    <w:rsid w:val="00DF207F"/>
    <w:rsid w:val="00DF6994"/>
    <w:rsid w:val="00E0010C"/>
    <w:rsid w:val="00E21025"/>
    <w:rsid w:val="00E30C5A"/>
    <w:rsid w:val="00E3519D"/>
    <w:rsid w:val="00E41147"/>
    <w:rsid w:val="00E54E81"/>
    <w:rsid w:val="00E55294"/>
    <w:rsid w:val="00E9032A"/>
    <w:rsid w:val="00EB319F"/>
    <w:rsid w:val="00EC4641"/>
    <w:rsid w:val="00ED1741"/>
    <w:rsid w:val="00EE17B8"/>
    <w:rsid w:val="00EE33A6"/>
    <w:rsid w:val="00F07883"/>
    <w:rsid w:val="00F1503D"/>
    <w:rsid w:val="00F20995"/>
    <w:rsid w:val="00F41144"/>
    <w:rsid w:val="00F50A32"/>
    <w:rsid w:val="00F74A50"/>
    <w:rsid w:val="00FB5C17"/>
    <w:rsid w:val="00FE06B5"/>
    <w:rsid w:val="00FF56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584A6"/>
  <w15:docId w15:val="{29B484C8-5814-42EE-9A38-8CB8D037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BodyText"/>
    <w:uiPriority w:val="9"/>
    <w:qFormat/>
    <w:rsid w:val="00A53CE3"/>
    <w:pPr>
      <w:spacing w:before="9"/>
      <w:jc w:val="center"/>
      <w:outlineLvl w:val="0"/>
    </w:pPr>
    <w:rPr>
      <w:sz w:val="40"/>
    </w:rPr>
  </w:style>
  <w:style w:type="paragraph" w:styleId="Heading2">
    <w:name w:val="heading 2"/>
    <w:basedOn w:val="Heading3"/>
    <w:uiPriority w:val="9"/>
    <w:unhideWhenUsed/>
    <w:qFormat/>
    <w:rsid w:val="00A53CE3"/>
    <w:pPr>
      <w:spacing w:after="120"/>
      <w:ind w:right="215"/>
      <w:outlineLvl w:val="1"/>
    </w:pPr>
    <w:rPr>
      <w:b/>
      <w:sz w:val="32"/>
      <w:szCs w:val="22"/>
    </w:rPr>
  </w:style>
  <w:style w:type="paragraph" w:styleId="Heading3">
    <w:name w:val="heading 3"/>
    <w:basedOn w:val="BodyText"/>
    <w:uiPriority w:val="9"/>
    <w:unhideWhenUsed/>
    <w:qFormat/>
    <w:rsid w:val="00C955C3"/>
    <w:pPr>
      <w:spacing w:before="360" w:after="80"/>
      <w:ind w:right="266"/>
      <w:outlineLvl w:val="2"/>
    </w:pPr>
    <w:rPr>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13"/>
      <w:ind w:left="997" w:hanging="360"/>
    </w:pPr>
  </w:style>
  <w:style w:type="paragraph" w:customStyle="1" w:styleId="TableParagraph">
    <w:name w:val="Table Paragraph"/>
    <w:basedOn w:val="Normal"/>
    <w:uiPriority w:val="1"/>
    <w:qFormat/>
    <w:pPr>
      <w:spacing w:line="227" w:lineRule="exact"/>
      <w:ind w:left="107"/>
    </w:pPr>
  </w:style>
  <w:style w:type="paragraph" w:styleId="BalloonText">
    <w:name w:val="Balloon Text"/>
    <w:basedOn w:val="Normal"/>
    <w:link w:val="BalloonTextChar"/>
    <w:uiPriority w:val="99"/>
    <w:semiHidden/>
    <w:unhideWhenUsed/>
    <w:rsid w:val="005A5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201"/>
    <w:rPr>
      <w:rFonts w:ascii="Segoe UI" w:eastAsia="Arial" w:hAnsi="Segoe UI" w:cs="Segoe UI"/>
      <w:sz w:val="18"/>
      <w:szCs w:val="18"/>
    </w:rPr>
  </w:style>
  <w:style w:type="character" w:styleId="CommentReference">
    <w:name w:val="annotation reference"/>
    <w:basedOn w:val="DefaultParagraphFont"/>
    <w:uiPriority w:val="99"/>
    <w:semiHidden/>
    <w:unhideWhenUsed/>
    <w:rsid w:val="00070F74"/>
    <w:rPr>
      <w:sz w:val="16"/>
      <w:szCs w:val="16"/>
    </w:rPr>
  </w:style>
  <w:style w:type="paragraph" w:styleId="CommentText">
    <w:name w:val="annotation text"/>
    <w:basedOn w:val="Normal"/>
    <w:link w:val="CommentTextChar"/>
    <w:uiPriority w:val="99"/>
    <w:semiHidden/>
    <w:unhideWhenUsed/>
    <w:rsid w:val="00070F74"/>
    <w:rPr>
      <w:sz w:val="20"/>
      <w:szCs w:val="20"/>
    </w:rPr>
  </w:style>
  <w:style w:type="character" w:customStyle="1" w:styleId="CommentTextChar">
    <w:name w:val="Comment Text Char"/>
    <w:basedOn w:val="DefaultParagraphFont"/>
    <w:link w:val="CommentText"/>
    <w:uiPriority w:val="99"/>
    <w:semiHidden/>
    <w:rsid w:val="00070F7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70F74"/>
    <w:rPr>
      <w:b/>
      <w:bCs/>
    </w:rPr>
  </w:style>
  <w:style w:type="character" w:customStyle="1" w:styleId="CommentSubjectChar">
    <w:name w:val="Comment Subject Char"/>
    <w:basedOn w:val="CommentTextChar"/>
    <w:link w:val="CommentSubject"/>
    <w:uiPriority w:val="99"/>
    <w:semiHidden/>
    <w:rsid w:val="00070F74"/>
    <w:rPr>
      <w:rFonts w:ascii="Arial" w:eastAsia="Arial" w:hAnsi="Arial" w:cs="Arial"/>
      <w:b/>
      <w:bCs/>
      <w:sz w:val="20"/>
      <w:szCs w:val="20"/>
    </w:rPr>
  </w:style>
  <w:style w:type="character" w:styleId="Hyperlink">
    <w:name w:val="Hyperlink"/>
    <w:basedOn w:val="DefaultParagraphFont"/>
    <w:uiPriority w:val="99"/>
    <w:unhideWhenUsed/>
    <w:rsid w:val="00300A72"/>
    <w:rPr>
      <w:color w:val="0000FF" w:themeColor="hyperlink"/>
      <w:u w:val="single"/>
    </w:rPr>
  </w:style>
  <w:style w:type="character" w:styleId="UnresolvedMention">
    <w:name w:val="Unresolved Mention"/>
    <w:basedOn w:val="DefaultParagraphFont"/>
    <w:uiPriority w:val="99"/>
    <w:semiHidden/>
    <w:unhideWhenUsed/>
    <w:rsid w:val="00300A72"/>
    <w:rPr>
      <w:color w:val="605E5C"/>
      <w:shd w:val="clear" w:color="auto" w:fill="E1DFDD"/>
    </w:rPr>
  </w:style>
  <w:style w:type="table" w:styleId="TableGrid">
    <w:name w:val="Table Grid"/>
    <w:basedOn w:val="TableNormal"/>
    <w:uiPriority w:val="39"/>
    <w:rsid w:val="00783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10D2F"/>
    <w:rPr>
      <w:rFonts w:ascii="Arial" w:eastAsia="Arial" w:hAnsi="Arial" w:cs="Arial"/>
      <w:sz w:val="20"/>
      <w:szCs w:val="20"/>
    </w:rPr>
  </w:style>
  <w:style w:type="paragraph" w:styleId="Header">
    <w:name w:val="header"/>
    <w:basedOn w:val="Normal"/>
    <w:link w:val="HeaderChar"/>
    <w:uiPriority w:val="99"/>
    <w:unhideWhenUsed/>
    <w:rsid w:val="00297006"/>
    <w:pPr>
      <w:tabs>
        <w:tab w:val="center" w:pos="4513"/>
        <w:tab w:val="right" w:pos="9026"/>
      </w:tabs>
    </w:pPr>
  </w:style>
  <w:style w:type="character" w:customStyle="1" w:styleId="HeaderChar">
    <w:name w:val="Header Char"/>
    <w:basedOn w:val="DefaultParagraphFont"/>
    <w:link w:val="Header"/>
    <w:uiPriority w:val="99"/>
    <w:rsid w:val="00297006"/>
    <w:rPr>
      <w:rFonts w:ascii="Arial" w:eastAsia="Arial" w:hAnsi="Arial" w:cs="Arial"/>
    </w:rPr>
  </w:style>
  <w:style w:type="paragraph" w:styleId="Footer">
    <w:name w:val="footer"/>
    <w:basedOn w:val="Normal"/>
    <w:link w:val="FooterChar"/>
    <w:uiPriority w:val="99"/>
    <w:unhideWhenUsed/>
    <w:rsid w:val="00297006"/>
    <w:pPr>
      <w:tabs>
        <w:tab w:val="center" w:pos="4513"/>
        <w:tab w:val="right" w:pos="9026"/>
      </w:tabs>
    </w:pPr>
  </w:style>
  <w:style w:type="character" w:customStyle="1" w:styleId="FooterChar">
    <w:name w:val="Footer Char"/>
    <w:basedOn w:val="DefaultParagraphFont"/>
    <w:link w:val="Footer"/>
    <w:uiPriority w:val="99"/>
    <w:rsid w:val="00297006"/>
    <w:rPr>
      <w:rFonts w:ascii="Arial" w:eastAsia="Arial" w:hAnsi="Arial" w:cs="Arial"/>
    </w:rPr>
  </w:style>
  <w:style w:type="paragraph" w:styleId="Revision">
    <w:name w:val="Revision"/>
    <w:hidden/>
    <w:uiPriority w:val="99"/>
    <w:semiHidden/>
    <w:rsid w:val="006315CA"/>
    <w:pPr>
      <w:widowControl/>
      <w:autoSpaceDE/>
      <w:autoSpaceDN/>
    </w:pPr>
    <w:rPr>
      <w:rFonts w:ascii="Arial" w:eastAsia="Arial" w:hAnsi="Arial" w:cs="Arial"/>
    </w:rPr>
  </w:style>
  <w:style w:type="table" w:styleId="PlainTable1">
    <w:name w:val="Plain Table 1"/>
    <w:basedOn w:val="TableNormal"/>
    <w:uiPriority w:val="41"/>
    <w:rsid w:val="004938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938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152D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152D8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152D8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590A82"/>
    <w:pPr>
      <w:widowControl/>
      <w:adjustRightInd w:val="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nting@vcat.vic.gov.a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vcat.vic.gov.au/rentingfe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sticeconnect.org.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clc.org.au" TargetMode="External"/><Relationship Id="rId19" Type="http://schemas.openxmlformats.org/officeDocument/2006/relationships/hyperlink" Target="http://www.vcat.vic.gov.au/form4" TargetMode="External"/><Relationship Id="rId4" Type="http://schemas.openxmlformats.org/officeDocument/2006/relationships/webSettings" Target="webSettings.xml"/><Relationship Id="rId9" Type="http://schemas.openxmlformats.org/officeDocument/2006/relationships/hyperlink" Target="http://www.legalaid.vic.gov.a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1495</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Alvin Bautista (CSV)</dc:creator>
  <cp:lastModifiedBy>Aun Hua Lim (CSV)</cp:lastModifiedBy>
  <cp:revision>9</cp:revision>
  <cp:lastPrinted>2019-08-08T00:55:00Z</cp:lastPrinted>
  <dcterms:created xsi:type="dcterms:W3CDTF">2019-11-06T22:25:00Z</dcterms:created>
  <dcterms:modified xsi:type="dcterms:W3CDTF">2024-06-26T06:20:00Z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2017-09-04T00:00:00Z</vt:filetime>
  </property>
  <property fmtid="{D5CDD505-2E9C-101B-9397-08002B2CF9AE}" pid="3" name="Creator">
    <vt:lpwstr>PDFium</vt:lpwstr>
  </property>
  <property fmtid="{D5CDD505-2E9C-101B-9397-08002B2CF9AE}" pid="4" name="LastSaved">
    <vt:filetime>2019-07-28T00:00:00Z</vt:filetime>
  </property>
</Properties>
</file>