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44F4D" w14:textId="691047BA" w:rsidR="0058554D" w:rsidRDefault="0058554D" w:rsidP="0058554D">
      <w:pPr>
        <w:pStyle w:val="Heading1"/>
      </w:pPr>
      <w:r>
        <w:t xml:space="preserve">PLANNING AND ENVIRONMENT </w:t>
      </w:r>
      <w:r w:rsidR="004A309D">
        <w:t>DIVISION</w:t>
      </w:r>
      <w:r>
        <w:t xml:space="preserve"> GUIDELINES</w:t>
      </w:r>
      <w:r>
        <w:br/>
      </w:r>
      <w:r w:rsidR="00AE037D" w:rsidRPr="00AE037D">
        <w:rPr>
          <w:iCs/>
          <w:sz w:val="28"/>
          <w:lang w:val="en-US"/>
        </w:rPr>
        <w:t>Time Limits</w:t>
      </w:r>
    </w:p>
    <w:p w14:paraId="05831791" w14:textId="77777777" w:rsidR="00810527" w:rsidRDefault="00810527" w:rsidP="00810527">
      <w:pPr>
        <w:pStyle w:val="NoSpacing"/>
        <w:pBdr>
          <w:bottom w:val="single" w:sz="4" w:space="1" w:color="auto"/>
        </w:pBdr>
      </w:pPr>
    </w:p>
    <w:p w14:paraId="112BB9F2" w14:textId="77777777" w:rsidR="00AE037D" w:rsidRPr="00AE037D" w:rsidRDefault="00AE037D" w:rsidP="00FE5282">
      <w:pPr>
        <w:pStyle w:val="Heading2"/>
      </w:pPr>
      <w:r w:rsidRPr="00AE037D">
        <w:rPr>
          <w:lang w:val="en-US"/>
        </w:rPr>
        <w:t xml:space="preserve">Time Limits For Lodging Applications For Review </w:t>
      </w:r>
    </w:p>
    <w:p w14:paraId="55892918" w14:textId="77777777" w:rsidR="00AE037D" w:rsidRPr="00AE037D" w:rsidRDefault="00AE037D" w:rsidP="00FE5282">
      <w:pPr>
        <w:pStyle w:val="Order1"/>
        <w:rPr>
          <w:lang w:val="en-US"/>
        </w:rPr>
      </w:pPr>
      <w:r w:rsidRPr="00AE037D">
        <w:rPr>
          <w:lang w:val="en-US"/>
        </w:rPr>
        <w:t xml:space="preserve">Time limits for lodging applications for review under selected planning enactments are set out below. Applications made under other legislation may be subject to time limits. Check the relevant legislation. </w:t>
      </w:r>
    </w:p>
    <w:p w14:paraId="09FA4FB2" w14:textId="77777777" w:rsidR="00AE037D" w:rsidRPr="00743AC8" w:rsidRDefault="00AE037D" w:rsidP="00FE5282">
      <w:pPr>
        <w:pStyle w:val="Heading3"/>
        <w:rPr>
          <w:i/>
          <w:lang w:val="en-US"/>
        </w:rPr>
      </w:pPr>
      <w:r w:rsidRPr="00743AC8">
        <w:rPr>
          <w:i/>
          <w:lang w:val="en-US"/>
        </w:rPr>
        <w:t xml:space="preserve">Planning and Environment Act 1987 </w:t>
      </w:r>
    </w:p>
    <w:p w14:paraId="62D00833" w14:textId="77777777" w:rsidR="00AE037D" w:rsidRPr="00AE037D" w:rsidRDefault="00AE037D" w:rsidP="00FE5282">
      <w:pPr>
        <w:pStyle w:val="Heading4"/>
        <w:rPr>
          <w:lang w:val="en-US"/>
        </w:rPr>
      </w:pPr>
      <w:r w:rsidRPr="00AE037D">
        <w:rPr>
          <w:lang w:val="en-US"/>
        </w:rPr>
        <w:t xml:space="preserve">Applications by permit applicants: </w:t>
      </w:r>
    </w:p>
    <w:p w14:paraId="61D770A1" w14:textId="03F013E7" w:rsidR="00AE037D" w:rsidRPr="00AE037D" w:rsidRDefault="00AE037D" w:rsidP="00FE5282">
      <w:pPr>
        <w:pStyle w:val="Order1"/>
        <w:rPr>
          <w:lang w:val="en-US"/>
        </w:rPr>
      </w:pPr>
      <w:r w:rsidRPr="00AE037D">
        <w:rPr>
          <w:b/>
          <w:lang w:val="en-US"/>
        </w:rPr>
        <w:t>Refusal to grant a permit (s.77)</w:t>
      </w:r>
      <w:r w:rsidRPr="00AE037D">
        <w:rPr>
          <w:lang w:val="en-US"/>
        </w:rPr>
        <w:t xml:space="preserve"> - 60 days after the responsible authority ha</w:t>
      </w:r>
      <w:r w:rsidR="00FF0588">
        <w:rPr>
          <w:lang w:val="en-US"/>
        </w:rPr>
        <w:t>s given notice of the refusal.</w:t>
      </w:r>
    </w:p>
    <w:p w14:paraId="2108C41B" w14:textId="1CCFC3B1" w:rsidR="00AE037D" w:rsidRPr="00AE037D" w:rsidRDefault="00AE037D" w:rsidP="00FE5282">
      <w:pPr>
        <w:pStyle w:val="Order1"/>
        <w:rPr>
          <w:lang w:val="en-US"/>
        </w:rPr>
      </w:pPr>
      <w:r w:rsidRPr="00AE037D">
        <w:rPr>
          <w:b/>
          <w:lang w:val="en-US"/>
        </w:rPr>
        <w:t>Requirement to give notice (s.78(a))</w:t>
      </w:r>
      <w:r w:rsidRPr="00AE037D">
        <w:rPr>
          <w:lang w:val="en-US"/>
        </w:rPr>
        <w:t xml:space="preserve"> - 30 days after the responsible authority required the applicant to give notice under </w:t>
      </w:r>
      <w:r w:rsidR="00FF0588">
        <w:rPr>
          <w:lang w:val="en-US"/>
        </w:rPr>
        <w:t>section 52(1)(d).</w:t>
      </w:r>
    </w:p>
    <w:p w14:paraId="6857FDB2" w14:textId="0E8EE7BB" w:rsidR="00AE037D" w:rsidRPr="00AE037D" w:rsidRDefault="00AE037D" w:rsidP="00FE5282">
      <w:pPr>
        <w:pStyle w:val="Order1"/>
        <w:rPr>
          <w:lang w:val="en-US"/>
        </w:rPr>
      </w:pPr>
      <w:r w:rsidRPr="00AE037D">
        <w:rPr>
          <w:b/>
          <w:lang w:val="en-US"/>
        </w:rPr>
        <w:t>Requirement for further information (s.78(b))</w:t>
      </w:r>
      <w:r w:rsidRPr="00AE037D">
        <w:rPr>
          <w:lang w:val="en-US"/>
        </w:rPr>
        <w:t xml:space="preserve"> - 60 days after the responsible authority required the applicant to provide further in</w:t>
      </w:r>
      <w:r w:rsidR="00FF0588">
        <w:rPr>
          <w:lang w:val="en-US"/>
        </w:rPr>
        <w:t>formation under Section 54(1).</w:t>
      </w:r>
    </w:p>
    <w:p w14:paraId="12AC9738" w14:textId="77777777" w:rsidR="00AE037D" w:rsidRPr="00AE037D" w:rsidRDefault="00AE037D" w:rsidP="00FE5282">
      <w:pPr>
        <w:pStyle w:val="Order1"/>
        <w:rPr>
          <w:lang w:val="en-US"/>
        </w:rPr>
      </w:pPr>
      <w:r w:rsidRPr="00AE037D">
        <w:rPr>
          <w:b/>
          <w:lang w:val="en-US"/>
        </w:rPr>
        <w:t>Failure to issue permit (s.79)</w:t>
      </w:r>
      <w:r w:rsidRPr="00AE037D">
        <w:rPr>
          <w:lang w:val="en-US"/>
        </w:rPr>
        <w:t xml:space="preserve"> – 10 days after lodging a </w:t>
      </w:r>
      <w:proofErr w:type="spellStart"/>
      <w:r w:rsidRPr="00AE037D">
        <w:rPr>
          <w:lang w:val="en-US"/>
        </w:rPr>
        <w:t>VicSmart</w:t>
      </w:r>
      <w:proofErr w:type="spellEnd"/>
      <w:r w:rsidRPr="00AE037D">
        <w:rPr>
          <w:lang w:val="en-US"/>
        </w:rPr>
        <w:t xml:space="preserve"> application or 60 days after lodging all other applications, however, the calculation of the days elapsed is complex (See Calculating elapsed days in failure applications). </w:t>
      </w:r>
    </w:p>
    <w:p w14:paraId="0231F4FF" w14:textId="77777777" w:rsidR="00AE037D" w:rsidRPr="00AE037D" w:rsidRDefault="00AE037D" w:rsidP="00FE5282">
      <w:pPr>
        <w:pStyle w:val="Order1"/>
        <w:rPr>
          <w:lang w:val="en-US"/>
        </w:rPr>
      </w:pPr>
      <w:r w:rsidRPr="00AE037D">
        <w:rPr>
          <w:b/>
          <w:lang w:val="en-US"/>
        </w:rPr>
        <w:t>Conditions (s.80)</w:t>
      </w:r>
      <w:r w:rsidRPr="00AE037D">
        <w:rPr>
          <w:lang w:val="en-US"/>
        </w:rPr>
        <w:t xml:space="preserve"> - 60 days after the responsible authority gave notice of its decision to grant a permit under section 64 or, if there was no notice required, after the permit was issued.  </w:t>
      </w:r>
    </w:p>
    <w:p w14:paraId="51909036" w14:textId="77777777" w:rsidR="00AE037D" w:rsidRPr="00AE037D" w:rsidRDefault="00AE037D" w:rsidP="00FE5282">
      <w:pPr>
        <w:pStyle w:val="Order1"/>
        <w:rPr>
          <w:lang w:val="en-US"/>
        </w:rPr>
      </w:pPr>
      <w:r w:rsidRPr="00AE037D">
        <w:rPr>
          <w:b/>
          <w:lang w:val="en-US"/>
        </w:rPr>
        <w:t>Extension of time (s. 81)</w:t>
      </w:r>
      <w:r w:rsidRPr="00AE037D">
        <w:rPr>
          <w:lang w:val="en-US"/>
        </w:rPr>
        <w:t xml:space="preserve"> - 60 days from decision to refuse extension or if no decision has been made one month after the request.  </w:t>
      </w:r>
    </w:p>
    <w:p w14:paraId="31F93C97" w14:textId="77777777" w:rsidR="00AE037D" w:rsidRPr="00AE037D" w:rsidRDefault="00AE037D" w:rsidP="00FE5282">
      <w:pPr>
        <w:pStyle w:val="Heading4"/>
        <w:rPr>
          <w:lang w:val="en-US"/>
        </w:rPr>
      </w:pPr>
      <w:r w:rsidRPr="00AE037D">
        <w:rPr>
          <w:lang w:val="en-US"/>
        </w:rPr>
        <w:t>Application by objectors:</w:t>
      </w:r>
    </w:p>
    <w:p w14:paraId="41963696" w14:textId="701FF189" w:rsidR="00AE037D" w:rsidRPr="00AE037D" w:rsidRDefault="00AE037D" w:rsidP="00FE5282">
      <w:pPr>
        <w:pStyle w:val="Order1"/>
        <w:rPr>
          <w:lang w:val="en-US"/>
        </w:rPr>
      </w:pPr>
      <w:r w:rsidRPr="00AE037D">
        <w:rPr>
          <w:b/>
          <w:lang w:val="en-US"/>
        </w:rPr>
        <w:t>Decision to grant a permit (s.82)</w:t>
      </w:r>
      <w:r w:rsidR="003546E7">
        <w:rPr>
          <w:lang w:val="en-US"/>
        </w:rPr>
        <w:t xml:space="preserve"> </w:t>
      </w:r>
      <w:r w:rsidR="00577909">
        <w:rPr>
          <w:lang w:val="en-US"/>
        </w:rPr>
        <w:t>–</w:t>
      </w:r>
      <w:r w:rsidR="003546E7">
        <w:rPr>
          <w:lang w:val="en-US"/>
        </w:rPr>
        <w:t xml:space="preserve"> </w:t>
      </w:r>
      <w:r w:rsidR="00577909">
        <w:rPr>
          <w:lang w:val="en-US"/>
        </w:rPr>
        <w:t xml:space="preserve">Objectors have 28 days to lodge an application for review with VCAT after the date of the Notice of Decision to Grant a Permit. </w:t>
      </w:r>
    </w:p>
    <w:p w14:paraId="3AB8E824" w14:textId="77777777" w:rsidR="00AE037D" w:rsidRPr="00AE037D" w:rsidRDefault="00AE037D" w:rsidP="00FE5282">
      <w:pPr>
        <w:pStyle w:val="Order1"/>
        <w:rPr>
          <w:lang w:val="en-US"/>
        </w:rPr>
      </w:pPr>
      <w:r w:rsidRPr="00AE037D">
        <w:rPr>
          <w:b/>
          <w:lang w:val="en-US"/>
        </w:rPr>
        <w:t>Note</w:t>
      </w:r>
      <w:r w:rsidRPr="00AE037D">
        <w:rPr>
          <w:lang w:val="en-US"/>
        </w:rPr>
        <w:t xml:space="preserve">: Any person who is affected by the granting of a permit, where a written objection was received by the responsible authority, but who did not themselves object, may apply to the Tribunal for leave to review that decision to grant a permit (S.82B). No time limit is specified, but once the permit is issued or if the planning scheme excludes objectors' applications for review, leave cannot be given. </w:t>
      </w:r>
    </w:p>
    <w:p w14:paraId="62AE8A23" w14:textId="77777777" w:rsidR="00AE037D" w:rsidRPr="00743AC8" w:rsidRDefault="00AE037D" w:rsidP="00FE5282">
      <w:pPr>
        <w:pStyle w:val="Heading3"/>
        <w:rPr>
          <w:i/>
          <w:lang w:val="en-US"/>
        </w:rPr>
      </w:pPr>
      <w:r w:rsidRPr="00743AC8">
        <w:rPr>
          <w:i/>
          <w:lang w:val="en-US"/>
        </w:rPr>
        <w:t xml:space="preserve">Local Government Act 1989 </w:t>
      </w:r>
    </w:p>
    <w:p w14:paraId="5CF6517B" w14:textId="77777777" w:rsidR="00AE037D" w:rsidRPr="00AE037D" w:rsidRDefault="00AE037D" w:rsidP="00FE5282">
      <w:pPr>
        <w:pStyle w:val="Order1"/>
        <w:rPr>
          <w:lang w:val="en-US"/>
        </w:rPr>
      </w:pPr>
      <w:r w:rsidRPr="00AE037D">
        <w:rPr>
          <w:b/>
          <w:lang w:val="en-US"/>
        </w:rPr>
        <w:t>Special rate or charge (s.185)</w:t>
      </w:r>
      <w:r w:rsidRPr="00AE037D">
        <w:rPr>
          <w:lang w:val="en-US"/>
        </w:rPr>
        <w:t xml:space="preserve"> - 30 days after the date of issue of a notice of the special rate or charge to the applicant. </w:t>
      </w:r>
    </w:p>
    <w:p w14:paraId="70A0C3AE" w14:textId="77777777" w:rsidR="00AE037D" w:rsidRPr="00AE037D" w:rsidRDefault="00AE037D" w:rsidP="00FE5282">
      <w:pPr>
        <w:pStyle w:val="Order1"/>
        <w:rPr>
          <w:lang w:val="en-US"/>
        </w:rPr>
      </w:pPr>
    </w:p>
    <w:p w14:paraId="627FEEE8" w14:textId="77777777" w:rsidR="00AE037D" w:rsidRPr="00AE037D" w:rsidRDefault="00AE037D" w:rsidP="00FE5282">
      <w:pPr>
        <w:pStyle w:val="Heading2"/>
        <w:rPr>
          <w:lang w:val="en-US"/>
        </w:rPr>
      </w:pPr>
      <w:r w:rsidRPr="00AE037D">
        <w:rPr>
          <w:lang w:val="en-US"/>
        </w:rPr>
        <w:lastRenderedPageBreak/>
        <w:t xml:space="preserve">EXTENSION OF TIME FOR MAKING APPLICATIONS </w:t>
      </w:r>
    </w:p>
    <w:p w14:paraId="60FD2E7E" w14:textId="77777777" w:rsidR="00AE037D" w:rsidRPr="00AE037D" w:rsidRDefault="00AE037D" w:rsidP="00FE5282">
      <w:pPr>
        <w:pStyle w:val="Order1"/>
        <w:rPr>
          <w:lang w:val="en-US"/>
        </w:rPr>
      </w:pPr>
      <w:r w:rsidRPr="00AE037D">
        <w:rPr>
          <w:lang w:val="en-US"/>
        </w:rPr>
        <w:t xml:space="preserve">An application for an extension of time limits may be made under the provisions of Section 126 of the </w:t>
      </w:r>
      <w:r w:rsidRPr="00743AC8">
        <w:rPr>
          <w:i/>
          <w:lang w:val="en-US"/>
        </w:rPr>
        <w:t>Victorian Civil and Administrative Tribunal Act 1998</w:t>
      </w:r>
      <w:r w:rsidRPr="00AE037D">
        <w:rPr>
          <w:lang w:val="en-US"/>
        </w:rPr>
        <w:t xml:space="preserve">. </w:t>
      </w:r>
    </w:p>
    <w:p w14:paraId="6BED8D69" w14:textId="77777777" w:rsidR="00AE037D" w:rsidRPr="00AE037D" w:rsidRDefault="00AE037D" w:rsidP="00AE037D">
      <w:pPr>
        <w:pStyle w:val="Heading3"/>
        <w:rPr>
          <w:lang w:val="en-US"/>
        </w:rPr>
      </w:pPr>
      <w:r w:rsidRPr="00AE037D">
        <w:rPr>
          <w:lang w:val="en-US"/>
        </w:rPr>
        <w:t xml:space="preserve">Time limits cannot be extended in some cases </w:t>
      </w:r>
    </w:p>
    <w:p w14:paraId="1356D5BB" w14:textId="77777777" w:rsidR="00AE037D" w:rsidRPr="00AE037D" w:rsidRDefault="00AE037D" w:rsidP="00FE5282">
      <w:pPr>
        <w:pStyle w:val="Order1"/>
        <w:rPr>
          <w:lang w:val="en-US"/>
        </w:rPr>
      </w:pPr>
      <w:r w:rsidRPr="00AE037D">
        <w:rPr>
          <w:lang w:val="en-US"/>
        </w:rPr>
        <w:t xml:space="preserve">In some circumstances an extension of this time may not be available by virtue of clause 65(1) of schedule 1 </w:t>
      </w:r>
      <w:r w:rsidRPr="00743AC8">
        <w:rPr>
          <w:i/>
          <w:lang w:val="en-US"/>
        </w:rPr>
        <w:t>Victorian Civil and Administrative Tribunal Act 1998</w:t>
      </w:r>
      <w:r w:rsidRPr="00AE037D">
        <w:rPr>
          <w:lang w:val="en-US"/>
        </w:rPr>
        <w:t xml:space="preserve"> which provides that the tribunal must not extend the time for commencement of a proceeding under a planning enactment if – </w:t>
      </w:r>
    </w:p>
    <w:p w14:paraId="05521FA9" w14:textId="77777777" w:rsidR="00AE037D" w:rsidRPr="00AE037D" w:rsidRDefault="00AE037D" w:rsidP="008049E1">
      <w:pPr>
        <w:pStyle w:val="Para4"/>
        <w:rPr>
          <w:lang w:val="en-US"/>
        </w:rPr>
      </w:pPr>
      <w:r w:rsidRPr="00AE037D">
        <w:rPr>
          <w:lang w:val="en-US"/>
        </w:rPr>
        <w:t xml:space="preserve">a proceeding in respect of the same or related facts or circumstances has already been set down for hearing, or </w:t>
      </w:r>
    </w:p>
    <w:p w14:paraId="3A9536C4" w14:textId="77777777" w:rsidR="00AE037D" w:rsidRPr="00AE037D" w:rsidRDefault="00AE037D" w:rsidP="008049E1">
      <w:pPr>
        <w:pStyle w:val="Para4"/>
        <w:rPr>
          <w:lang w:val="en-US"/>
        </w:rPr>
      </w:pPr>
      <w:r w:rsidRPr="00AE037D">
        <w:rPr>
          <w:lang w:val="en-US"/>
        </w:rPr>
        <w:t xml:space="preserve">a permit, license or works approval has been issued to any person on or after the expiration of the time appointed for lodging an application for review of the decision to grant that permit, license or approval. </w:t>
      </w:r>
    </w:p>
    <w:p w14:paraId="0962C2AA" w14:textId="2982FEDD" w:rsidR="00AE037D" w:rsidRPr="00AE037D" w:rsidRDefault="00FF0588" w:rsidP="00AE037D">
      <w:pPr>
        <w:pStyle w:val="Heading3"/>
        <w:rPr>
          <w:lang w:val="en-US"/>
        </w:rPr>
      </w:pPr>
      <w:r>
        <w:rPr>
          <w:lang w:val="en-US"/>
        </w:rPr>
        <w:t>C</w:t>
      </w:r>
      <w:r w:rsidR="00AE037D" w:rsidRPr="00AE037D">
        <w:rPr>
          <w:lang w:val="en-US"/>
        </w:rPr>
        <w:t xml:space="preserve">riteria for extension of time limits  </w:t>
      </w:r>
    </w:p>
    <w:p w14:paraId="2CD2B5D9" w14:textId="77777777" w:rsidR="00AE037D" w:rsidRPr="00AE037D" w:rsidRDefault="00AE037D" w:rsidP="00FE5282">
      <w:pPr>
        <w:pStyle w:val="Order1"/>
        <w:rPr>
          <w:lang w:val="en-US"/>
        </w:rPr>
      </w:pPr>
      <w:r w:rsidRPr="00AE037D">
        <w:rPr>
          <w:lang w:val="en-US"/>
        </w:rPr>
        <w:t xml:space="preserve">The criteria that the Tribunal commonly considers when deciding whether to extend time for lodging an application for review are:  </w:t>
      </w:r>
    </w:p>
    <w:p w14:paraId="2A970140" w14:textId="77777777" w:rsidR="008049E1" w:rsidRDefault="008049E1" w:rsidP="008049E1">
      <w:pPr>
        <w:pStyle w:val="Para4"/>
        <w:numPr>
          <w:ilvl w:val="0"/>
          <w:numId w:val="40"/>
        </w:numPr>
      </w:pPr>
      <w:r w:rsidRPr="008049E1">
        <w:t>What reasons are given for the delay by the applicant for extension of time in lodging its appeal?</w:t>
      </w:r>
    </w:p>
    <w:p w14:paraId="7E17CFA9" w14:textId="77777777" w:rsidR="00AE037D" w:rsidRPr="008049E1" w:rsidRDefault="00AE037D" w:rsidP="008049E1">
      <w:pPr>
        <w:pStyle w:val="Para4"/>
      </w:pPr>
      <w:r w:rsidRPr="008049E1">
        <w:t xml:space="preserve">Did the applicant for extension of time take any other action (apart from the lodging of the objection or the late appeal) which continued to make the responsible authority aware that its decision to grant a permit was being contested? </w:t>
      </w:r>
    </w:p>
    <w:p w14:paraId="7286774F" w14:textId="77777777" w:rsidR="00AE037D" w:rsidRPr="008049E1" w:rsidRDefault="00AE037D" w:rsidP="008049E1">
      <w:pPr>
        <w:pStyle w:val="Para4"/>
      </w:pPr>
      <w:r w:rsidRPr="008049E1">
        <w:t xml:space="preserve">Will the applicant for the permit or the responsible authority suffer any prejudice if the application to extend time is granted? </w:t>
      </w:r>
    </w:p>
    <w:p w14:paraId="2B9C07B6" w14:textId="77777777" w:rsidR="00AE037D" w:rsidRPr="008049E1" w:rsidRDefault="00AE037D" w:rsidP="008049E1">
      <w:pPr>
        <w:pStyle w:val="Para4"/>
      </w:pPr>
      <w:r w:rsidRPr="008049E1">
        <w:t xml:space="preserve">Will granting of the extension of time result in the unsettling of other people or of established practices? </w:t>
      </w:r>
    </w:p>
    <w:p w14:paraId="1BE0AE41" w14:textId="77777777" w:rsidR="00AE037D" w:rsidRPr="008049E1" w:rsidRDefault="00AE037D" w:rsidP="008049E1">
      <w:pPr>
        <w:pStyle w:val="Para4"/>
      </w:pPr>
      <w:r w:rsidRPr="008049E1">
        <w:t xml:space="preserve">Does the proposed appeal have a real chance of success? </w:t>
      </w:r>
    </w:p>
    <w:p w14:paraId="1589C4FD" w14:textId="77777777" w:rsidR="00AE037D" w:rsidRPr="008049E1" w:rsidRDefault="00AE037D" w:rsidP="008049E1">
      <w:pPr>
        <w:pStyle w:val="Para4"/>
      </w:pPr>
      <w:r w:rsidRPr="008049E1">
        <w:t xml:space="preserve">Are there any considerations of fairness as between the applicant for extension of time and other persons in a like position which are relevant? </w:t>
      </w:r>
    </w:p>
    <w:p w14:paraId="6156DB6D" w14:textId="77777777" w:rsidR="00AE037D" w:rsidRPr="008049E1" w:rsidRDefault="00AE037D" w:rsidP="008049E1">
      <w:pPr>
        <w:pStyle w:val="Para4"/>
      </w:pPr>
      <w:r w:rsidRPr="008049E1">
        <w:t xml:space="preserve">Is there to be an appeal in any event brought by persons who did lodge an appeal in time? </w:t>
      </w:r>
    </w:p>
    <w:p w14:paraId="5C2CC34E" w14:textId="77777777" w:rsidR="00AE037D" w:rsidRPr="008049E1" w:rsidRDefault="00AE037D" w:rsidP="008049E1">
      <w:pPr>
        <w:pStyle w:val="Para4"/>
      </w:pPr>
      <w:r w:rsidRPr="008049E1">
        <w:t xml:space="preserve">Is there any other reason why it would be fair and equitable in the circumstances for the application for extension of time to be granted? </w:t>
      </w:r>
    </w:p>
    <w:p w14:paraId="3C4D77F4" w14:textId="77777777" w:rsidR="00AE037D" w:rsidRPr="00AE037D" w:rsidRDefault="00AE037D" w:rsidP="00FE5282">
      <w:pPr>
        <w:pStyle w:val="Order1"/>
      </w:pPr>
      <w:r w:rsidRPr="00AE037D">
        <w:t xml:space="preserve">These considerations are based on a decision of the Federal Court in </w:t>
      </w:r>
      <w:r w:rsidRPr="00AE037D">
        <w:rPr>
          <w:i/>
        </w:rPr>
        <w:t>Hunter Valley Developments Pty Ltd v Minister for Home Affairs and Environment</w:t>
      </w:r>
      <w:r w:rsidRPr="00AE037D">
        <w:t xml:space="preserve"> (1984) 58 ALR 305 and were referred to in </w:t>
      </w:r>
      <w:r w:rsidRPr="00AE037D">
        <w:rPr>
          <w:i/>
        </w:rPr>
        <w:t>Australia Pacific Airports v Hume CC</w:t>
      </w:r>
      <w:r w:rsidRPr="00AE037D">
        <w:t xml:space="preserve"> [1999] VCAT 47.</w:t>
      </w:r>
    </w:p>
    <w:p w14:paraId="02FFA5B5" w14:textId="77777777" w:rsidR="00AE037D" w:rsidRPr="00AE037D" w:rsidRDefault="00AE037D" w:rsidP="00FE5282">
      <w:pPr>
        <w:pStyle w:val="Order1"/>
        <w:rPr>
          <w:lang w:val="en-US"/>
        </w:rPr>
      </w:pPr>
      <w:r w:rsidRPr="00AE037D">
        <w:rPr>
          <w:lang w:val="en-US"/>
        </w:rPr>
        <w:t xml:space="preserve">None of these criteria are determinative on their own. The overriding purpose of the power to extend time is to enable justice to be </w:t>
      </w:r>
      <w:proofErr w:type="gramStart"/>
      <w:r w:rsidRPr="00AE037D">
        <w:rPr>
          <w:lang w:val="en-US"/>
        </w:rPr>
        <w:t>done.(</w:t>
      </w:r>
      <w:proofErr w:type="gramEnd"/>
      <w:r w:rsidRPr="00AE037D">
        <w:rPr>
          <w:lang w:val="en-US"/>
        </w:rPr>
        <w:t xml:space="preserve">See </w:t>
      </w:r>
      <w:r w:rsidRPr="00AE037D">
        <w:rPr>
          <w:i/>
          <w:lang w:val="en-US"/>
        </w:rPr>
        <w:t xml:space="preserve">Dingley Village </w:t>
      </w:r>
      <w:proofErr w:type="spellStart"/>
      <w:r w:rsidRPr="00AE037D">
        <w:rPr>
          <w:i/>
          <w:lang w:val="en-US"/>
        </w:rPr>
        <w:t>Neighbourhood</w:t>
      </w:r>
      <w:proofErr w:type="spellEnd"/>
      <w:r w:rsidRPr="00AE037D">
        <w:rPr>
          <w:i/>
          <w:lang w:val="en-US"/>
        </w:rPr>
        <w:t xml:space="preserve"> Centre Inc v Kingston CC</w:t>
      </w:r>
      <w:r w:rsidRPr="00AE037D">
        <w:rPr>
          <w:lang w:val="en-US"/>
        </w:rPr>
        <w:t xml:space="preserve"> (1997) AATR 227 at 285). </w:t>
      </w:r>
    </w:p>
    <w:p w14:paraId="2484D0F8" w14:textId="77777777" w:rsidR="00AE037D" w:rsidRPr="00AE037D" w:rsidRDefault="00AE037D" w:rsidP="00FE5282">
      <w:pPr>
        <w:pStyle w:val="Order1"/>
        <w:rPr>
          <w:lang w:val="en-US"/>
        </w:rPr>
      </w:pPr>
      <w:r w:rsidRPr="00AE037D">
        <w:rPr>
          <w:lang w:val="en-US"/>
        </w:rPr>
        <w:lastRenderedPageBreak/>
        <w:t xml:space="preserve">A decision of the Tribunal, which may assist in understanding the Tribunal’s approach to the exercise of its discretion in respect of the extension of time, is </w:t>
      </w:r>
      <w:proofErr w:type="spellStart"/>
      <w:r w:rsidRPr="00AE037D">
        <w:rPr>
          <w:i/>
          <w:lang w:val="en-US"/>
        </w:rPr>
        <w:t>Katsanis</w:t>
      </w:r>
      <w:proofErr w:type="spellEnd"/>
      <w:r w:rsidRPr="00AE037D">
        <w:rPr>
          <w:i/>
          <w:lang w:val="en-US"/>
        </w:rPr>
        <w:t xml:space="preserve"> v Wyndham CC</w:t>
      </w:r>
      <w:r w:rsidRPr="00AE037D">
        <w:rPr>
          <w:lang w:val="en-US"/>
        </w:rPr>
        <w:t xml:space="preserve"> [2005] VCAT 824. </w:t>
      </w:r>
    </w:p>
    <w:p w14:paraId="16518720" w14:textId="77777777" w:rsidR="00AE037D" w:rsidRPr="00AE037D" w:rsidRDefault="00AE037D" w:rsidP="00FE5282">
      <w:pPr>
        <w:pStyle w:val="Heading2"/>
        <w:rPr>
          <w:lang w:val="en-US"/>
        </w:rPr>
      </w:pPr>
      <w:r w:rsidRPr="00AE037D">
        <w:rPr>
          <w:lang w:val="en-US"/>
        </w:rPr>
        <w:t xml:space="preserve">CALCULATION OF TIME </w:t>
      </w:r>
    </w:p>
    <w:p w14:paraId="50B9969D" w14:textId="462A40ED" w:rsidR="00AE037D" w:rsidRPr="00AE037D" w:rsidRDefault="00AE037D" w:rsidP="00FE5282">
      <w:pPr>
        <w:pStyle w:val="Order1"/>
        <w:rPr>
          <w:lang w:val="en-US"/>
        </w:rPr>
      </w:pPr>
      <w:r w:rsidRPr="00AE037D">
        <w:rPr>
          <w:lang w:val="en-US"/>
        </w:rPr>
        <w:t>When a permit is issued or a notice</w:t>
      </w:r>
      <w:r w:rsidR="00FF0588">
        <w:rPr>
          <w:lang w:val="en-US"/>
        </w:rPr>
        <w:t xml:space="preserve"> is</w:t>
      </w:r>
      <w:r w:rsidRPr="00AE037D">
        <w:rPr>
          <w:lang w:val="en-US"/>
        </w:rPr>
        <w:t xml:space="preserve"> given by post, two business days are allowed for service. The closing date is calculated from the second business day after posting.  (See </w:t>
      </w:r>
      <w:proofErr w:type="spellStart"/>
      <w:r w:rsidRPr="00AE037D">
        <w:rPr>
          <w:i/>
          <w:lang w:val="en-US"/>
        </w:rPr>
        <w:t>Vitesnik</w:t>
      </w:r>
      <w:proofErr w:type="spellEnd"/>
      <w:r w:rsidRPr="00AE037D">
        <w:rPr>
          <w:i/>
          <w:lang w:val="en-US"/>
        </w:rPr>
        <w:t xml:space="preserve"> v Macedon Ranges SC</w:t>
      </w:r>
      <w:r w:rsidRPr="00AE037D">
        <w:rPr>
          <w:lang w:val="en-US"/>
        </w:rPr>
        <w:t xml:space="preserve"> [2007] VCAT 598) </w:t>
      </w:r>
    </w:p>
    <w:p w14:paraId="7AD3E384" w14:textId="77777777" w:rsidR="00AE037D" w:rsidRPr="00AE037D" w:rsidRDefault="00AE037D" w:rsidP="00FE5282">
      <w:pPr>
        <w:pStyle w:val="Order1"/>
        <w:rPr>
          <w:lang w:val="en-US"/>
        </w:rPr>
      </w:pPr>
      <w:r w:rsidRPr="00AE037D">
        <w:rPr>
          <w:lang w:val="en-US"/>
        </w:rPr>
        <w:t xml:space="preserve">If the closing date falls on a weekend or public holiday, the next business day is taken to be the closing date. </w:t>
      </w:r>
    </w:p>
    <w:p w14:paraId="2DCC4108" w14:textId="77777777" w:rsidR="00AE037D" w:rsidRPr="00AE037D" w:rsidRDefault="00AE037D" w:rsidP="00FE5282">
      <w:pPr>
        <w:pStyle w:val="Heading2"/>
        <w:rPr>
          <w:lang w:val="en-US"/>
        </w:rPr>
      </w:pPr>
      <w:r w:rsidRPr="00AE037D">
        <w:rPr>
          <w:lang w:val="en-US"/>
        </w:rPr>
        <w:t xml:space="preserve">ELAPSED DAYS IN FAILURE APPLICATIONS </w:t>
      </w:r>
      <w:r w:rsidR="0069223A">
        <w:rPr>
          <w:lang w:val="en-US"/>
        </w:rPr>
        <w:t>Calculator</w:t>
      </w:r>
    </w:p>
    <w:p w14:paraId="0FE78FF9" w14:textId="77777777" w:rsidR="00AE037D" w:rsidRPr="00AE037D" w:rsidRDefault="00AE037D" w:rsidP="00FE5282">
      <w:pPr>
        <w:pStyle w:val="Heading3"/>
        <w:rPr>
          <w:lang w:val="en-US"/>
        </w:rPr>
      </w:pPr>
      <w:r w:rsidRPr="00AE037D">
        <w:rPr>
          <w:lang w:val="en-US"/>
        </w:rPr>
        <w:t xml:space="preserve">The Four steps </w:t>
      </w:r>
    </w:p>
    <w:p w14:paraId="128EAD68" w14:textId="0FDDED9F" w:rsidR="00743AC8" w:rsidRDefault="00AE037D" w:rsidP="00FE5282">
      <w:pPr>
        <w:pStyle w:val="Order1"/>
        <w:rPr>
          <w:lang w:val="en-US"/>
        </w:rPr>
      </w:pPr>
      <w:r w:rsidRPr="00AE037D">
        <w:rPr>
          <w:lang w:val="en-US"/>
        </w:rPr>
        <w:t xml:space="preserve">Section 79 of the </w:t>
      </w:r>
      <w:r w:rsidRPr="00743AC8">
        <w:rPr>
          <w:i/>
          <w:lang w:val="en-US"/>
        </w:rPr>
        <w:t>Planning and Environment Act 1987</w:t>
      </w:r>
      <w:r w:rsidRPr="00AE037D">
        <w:rPr>
          <w:lang w:val="en-US"/>
        </w:rPr>
        <w:t xml:space="preserve"> provides that an applicant for a permit can apply to the Tribunal for a review of the failure of the Responsible Authority to grant a permit within the prescribed time.  Clause 3</w:t>
      </w:r>
      <w:r w:rsidR="00743AC8">
        <w:rPr>
          <w:lang w:val="en-US"/>
        </w:rPr>
        <w:t>2</w:t>
      </w:r>
      <w:r w:rsidRPr="00AE037D">
        <w:rPr>
          <w:lang w:val="en-US"/>
        </w:rPr>
        <w:t xml:space="preserve"> of the </w:t>
      </w:r>
      <w:r w:rsidRPr="00AE037D">
        <w:rPr>
          <w:i/>
          <w:lang w:val="en-US"/>
        </w:rPr>
        <w:t>Planning and Environment Regulations</w:t>
      </w:r>
      <w:r w:rsidRPr="00AE037D">
        <w:rPr>
          <w:lang w:val="en-US"/>
        </w:rPr>
        <w:t xml:space="preserve"> 20</w:t>
      </w:r>
      <w:r w:rsidR="00743AC8">
        <w:rPr>
          <w:lang w:val="en-US"/>
        </w:rPr>
        <w:t>1</w:t>
      </w:r>
      <w:r w:rsidRPr="00AE037D">
        <w:rPr>
          <w:lang w:val="en-US"/>
        </w:rPr>
        <w:t>5 provides that the prescribed time is 60 days</w:t>
      </w:r>
      <w:r w:rsidR="00743AC8">
        <w:rPr>
          <w:lang w:val="en-US"/>
        </w:rPr>
        <w:t xml:space="preserve"> or 10 business days for </w:t>
      </w:r>
      <w:proofErr w:type="spellStart"/>
      <w:r w:rsidR="00743AC8">
        <w:rPr>
          <w:lang w:val="en-US"/>
        </w:rPr>
        <w:t>VicSmart</w:t>
      </w:r>
      <w:proofErr w:type="spellEnd"/>
      <w:r w:rsidR="00743AC8">
        <w:rPr>
          <w:lang w:val="en-US"/>
        </w:rPr>
        <w:t xml:space="preserve"> applications</w:t>
      </w:r>
      <w:r w:rsidR="00FF0588">
        <w:rPr>
          <w:rStyle w:val="FootnoteReference"/>
          <w:lang w:val="en-US"/>
        </w:rPr>
        <w:footnoteReference w:id="1"/>
      </w:r>
      <w:r w:rsidRPr="00AE037D">
        <w:rPr>
          <w:lang w:val="en-US"/>
        </w:rPr>
        <w:t xml:space="preserve">.  </w:t>
      </w:r>
    </w:p>
    <w:p w14:paraId="418B028C" w14:textId="1FA831E4" w:rsidR="00AE037D" w:rsidRDefault="00AE037D" w:rsidP="00FE5282">
      <w:pPr>
        <w:pStyle w:val="Order1"/>
        <w:rPr>
          <w:lang w:val="en-US"/>
        </w:rPr>
      </w:pPr>
      <w:r w:rsidRPr="00AE037D">
        <w:rPr>
          <w:lang w:val="en-US"/>
        </w:rPr>
        <w:t xml:space="preserve">Determining whether or not the 60 days has elapsed is complex. In most cases it can be calculated using the </w:t>
      </w:r>
      <w:proofErr w:type="gramStart"/>
      <w:r w:rsidRPr="00AE037D">
        <w:rPr>
          <w:lang w:val="en-US"/>
        </w:rPr>
        <w:t>four step</w:t>
      </w:r>
      <w:proofErr w:type="gramEnd"/>
      <w:r w:rsidRPr="00AE037D">
        <w:rPr>
          <w:lang w:val="en-US"/>
        </w:rPr>
        <w:t xml:space="preserve"> process set out below. </w:t>
      </w:r>
    </w:p>
    <w:p w14:paraId="1031FE95" w14:textId="77777777" w:rsidR="00AE037D" w:rsidRPr="00AE037D" w:rsidRDefault="00AE037D" w:rsidP="00FE5282">
      <w:pPr>
        <w:pStyle w:val="Heading4"/>
      </w:pPr>
      <w:r w:rsidRPr="00AE037D">
        <w:rPr>
          <w:lang w:val="en-US"/>
        </w:rPr>
        <w:t xml:space="preserve">Step 1 </w:t>
      </w:r>
    </w:p>
    <w:p w14:paraId="690055B2" w14:textId="77777777" w:rsidR="00AE037D" w:rsidRPr="00AE037D" w:rsidRDefault="00AE037D" w:rsidP="00FE5282">
      <w:pPr>
        <w:pStyle w:val="Order1"/>
        <w:rPr>
          <w:lang w:val="en-US"/>
        </w:rPr>
      </w:pPr>
      <w:r w:rsidRPr="00AE037D">
        <w:rPr>
          <w:lang w:val="en-US"/>
        </w:rPr>
        <w:t xml:space="preserve">Ascertain the start date (See the notes below for the determination of the start date). </w:t>
      </w:r>
    </w:p>
    <w:p w14:paraId="4CE47703" w14:textId="77777777" w:rsidR="00AE037D" w:rsidRPr="00AE037D" w:rsidRDefault="00AE037D" w:rsidP="00FE5282">
      <w:pPr>
        <w:pStyle w:val="Heading4"/>
        <w:rPr>
          <w:lang w:val="en-US"/>
        </w:rPr>
      </w:pPr>
      <w:r w:rsidRPr="00AE037D">
        <w:rPr>
          <w:lang w:val="en-US"/>
        </w:rPr>
        <w:t xml:space="preserve">Step 2  </w:t>
      </w:r>
    </w:p>
    <w:p w14:paraId="73B696C3" w14:textId="77777777" w:rsidR="00AE037D" w:rsidRPr="00AE037D" w:rsidRDefault="00AE037D" w:rsidP="00FE5282">
      <w:pPr>
        <w:pStyle w:val="Order1"/>
        <w:rPr>
          <w:lang w:val="en-US"/>
        </w:rPr>
      </w:pPr>
      <w:r w:rsidRPr="00AE037D">
        <w:rPr>
          <w:lang w:val="en-US"/>
        </w:rPr>
        <w:t xml:space="preserve">Count the total days that have elapsed from the start date to the date upon which the application review was or is to be received by VCAT. </w:t>
      </w:r>
    </w:p>
    <w:p w14:paraId="3EC2AD87" w14:textId="77777777" w:rsidR="00AE037D" w:rsidRPr="00AE037D" w:rsidRDefault="00AE037D" w:rsidP="00FE5282">
      <w:pPr>
        <w:pStyle w:val="Heading4"/>
        <w:rPr>
          <w:lang w:val="en-US"/>
        </w:rPr>
      </w:pPr>
      <w:r w:rsidRPr="00AE037D">
        <w:rPr>
          <w:lang w:val="en-US"/>
        </w:rPr>
        <w:t xml:space="preserve">Step 3  </w:t>
      </w:r>
    </w:p>
    <w:p w14:paraId="4D87E318" w14:textId="77777777" w:rsidR="00AE037D" w:rsidRPr="00AE037D" w:rsidRDefault="00AE037D" w:rsidP="00FE5282">
      <w:pPr>
        <w:pStyle w:val="Order1"/>
        <w:rPr>
          <w:lang w:val="en-US"/>
        </w:rPr>
      </w:pPr>
      <w:r w:rsidRPr="00AE037D">
        <w:rPr>
          <w:lang w:val="en-US"/>
        </w:rPr>
        <w:t xml:space="preserve">Count the “notice” days that elapsed while giving notice of the permit application under section 52 of the </w:t>
      </w:r>
      <w:r w:rsidRPr="00743AC8">
        <w:rPr>
          <w:i/>
          <w:lang w:val="en-US"/>
        </w:rPr>
        <w:t>Planning and Environment Act 1987</w:t>
      </w:r>
      <w:r w:rsidRPr="00AE037D">
        <w:rPr>
          <w:lang w:val="en-US"/>
        </w:rPr>
        <w:t xml:space="preserve">. (See the notes below in relation to determination of the beginning and end of the notice period). </w:t>
      </w:r>
    </w:p>
    <w:p w14:paraId="711FDB65" w14:textId="77777777" w:rsidR="00AE037D" w:rsidRPr="00AE037D" w:rsidRDefault="00AE037D" w:rsidP="00FE5282">
      <w:pPr>
        <w:pStyle w:val="Heading4"/>
        <w:rPr>
          <w:lang w:val="en-US"/>
        </w:rPr>
      </w:pPr>
      <w:r w:rsidRPr="00AE037D">
        <w:rPr>
          <w:lang w:val="en-US"/>
        </w:rPr>
        <w:t xml:space="preserve">Step 4  </w:t>
      </w:r>
    </w:p>
    <w:p w14:paraId="6E309D10" w14:textId="77777777" w:rsidR="00AE037D" w:rsidRDefault="00AE037D" w:rsidP="00FE5282">
      <w:pPr>
        <w:pStyle w:val="Order1"/>
        <w:rPr>
          <w:lang w:val="en-US"/>
        </w:rPr>
      </w:pPr>
      <w:r w:rsidRPr="00AE037D">
        <w:rPr>
          <w:lang w:val="en-US"/>
        </w:rPr>
        <w:t xml:space="preserve">Calculate the number of prescribed days that have elapsed by subtracting the “notice” days counted in Step 2, from the total days counted in Step 1.  If the total days minus the notice days is less than 60 days, the application is premature. </w:t>
      </w:r>
    </w:p>
    <w:p w14:paraId="5A0653E4" w14:textId="77777777" w:rsidR="007C1DE7" w:rsidRDefault="007C1DE7" w:rsidP="00FE5282">
      <w:pPr>
        <w:pStyle w:val="Order1"/>
        <w:rPr>
          <w:lang w:val="en-US"/>
        </w:rPr>
      </w:pPr>
    </w:p>
    <w:p w14:paraId="3FCD2D04" w14:textId="77777777" w:rsidR="007C1DE7" w:rsidRPr="00AE037D" w:rsidRDefault="007C1DE7" w:rsidP="00FE5282">
      <w:pPr>
        <w:pStyle w:val="Order1"/>
        <w:jc w:val="center"/>
        <w:rPr>
          <w:b/>
          <w:bCs/>
          <w:lang w:val="en-US"/>
        </w:rPr>
      </w:pPr>
      <w:r w:rsidRPr="00FE5282">
        <w:rPr>
          <w:b/>
          <w:bCs/>
          <w:lang w:val="en-US"/>
        </w:rPr>
        <w:t>The four steps table set out on the last page of this document simplifies the calculation of elapsed days.</w:t>
      </w:r>
    </w:p>
    <w:p w14:paraId="3D44CE77" w14:textId="77777777" w:rsidR="0069223A" w:rsidRDefault="0069223A" w:rsidP="007C1DE7">
      <w:pPr>
        <w:pStyle w:val="Order1"/>
        <w:rPr>
          <w:lang w:val="en-US"/>
        </w:rPr>
      </w:pPr>
      <w:r>
        <w:rPr>
          <w:lang w:val="en-US"/>
        </w:rPr>
        <w:br w:type="page"/>
      </w:r>
    </w:p>
    <w:p w14:paraId="13B1872C" w14:textId="77777777" w:rsidR="00AE037D" w:rsidRPr="00AE037D" w:rsidRDefault="00AE037D" w:rsidP="00FE5282">
      <w:pPr>
        <w:pStyle w:val="Heading3"/>
        <w:rPr>
          <w:lang w:val="en-US"/>
        </w:rPr>
      </w:pPr>
      <w:r w:rsidRPr="00AE037D">
        <w:rPr>
          <w:lang w:val="en-US"/>
        </w:rPr>
        <w:lastRenderedPageBreak/>
        <w:t xml:space="preserve">Notes on the Four Step Calculation </w:t>
      </w:r>
    </w:p>
    <w:p w14:paraId="1C9B5198" w14:textId="77777777" w:rsidR="00AE037D" w:rsidRPr="00AE037D" w:rsidRDefault="00AE037D" w:rsidP="00FE5282">
      <w:pPr>
        <w:pStyle w:val="Heading4"/>
        <w:rPr>
          <w:lang w:val="en-US"/>
        </w:rPr>
      </w:pPr>
      <w:r w:rsidRPr="00AE037D">
        <w:rPr>
          <w:lang w:val="en-US"/>
        </w:rPr>
        <w:t xml:space="preserve">Step 1 and the start date </w:t>
      </w:r>
    </w:p>
    <w:p w14:paraId="0D95E6F3" w14:textId="77777777" w:rsidR="00AE037D" w:rsidRPr="00AE037D" w:rsidRDefault="00AE037D" w:rsidP="00FE5282">
      <w:pPr>
        <w:pStyle w:val="Order1"/>
        <w:rPr>
          <w:lang w:val="en-US"/>
        </w:rPr>
      </w:pPr>
      <w:r w:rsidRPr="00AE037D">
        <w:rPr>
          <w:lang w:val="en-US"/>
        </w:rPr>
        <w:t xml:space="preserve">The start date is the most recent of the dates determined as follows: </w:t>
      </w:r>
    </w:p>
    <w:p w14:paraId="4AC9AAA1" w14:textId="77777777" w:rsidR="00AE037D" w:rsidRPr="00AE037D" w:rsidRDefault="00AE037D" w:rsidP="00FE5282">
      <w:pPr>
        <w:pStyle w:val="Order1"/>
        <w:rPr>
          <w:lang w:val="en-US"/>
        </w:rPr>
      </w:pPr>
      <w:r w:rsidRPr="00AE037D">
        <w:rPr>
          <w:lang w:val="en-US"/>
        </w:rPr>
        <w:t xml:space="preserve">The date upon which the permit application was first received by the Responsible Authority. </w:t>
      </w:r>
    </w:p>
    <w:p w14:paraId="35A3BEBA" w14:textId="77777777" w:rsidR="00AE037D" w:rsidRPr="003218D0" w:rsidRDefault="00AE037D" w:rsidP="003218D0">
      <w:pPr>
        <w:pStyle w:val="Order2"/>
        <w:rPr>
          <w:lang w:val="en-US"/>
        </w:rPr>
      </w:pPr>
      <w:r w:rsidRPr="003218D0">
        <w:rPr>
          <w:lang w:val="en-US"/>
        </w:rPr>
        <w:t xml:space="preserve">The date upon which the permit applicant applied to amend the permit application pursuant to section 50 of the </w:t>
      </w:r>
      <w:r w:rsidRPr="00743AC8">
        <w:rPr>
          <w:i/>
          <w:lang w:val="en-US"/>
        </w:rPr>
        <w:t>Planning and Environment Act 1987</w:t>
      </w:r>
      <w:r w:rsidRPr="003218D0">
        <w:rPr>
          <w:lang w:val="en-US"/>
        </w:rPr>
        <w:t xml:space="preserve">.  (See section 57(b)) </w:t>
      </w:r>
    </w:p>
    <w:p w14:paraId="65D8B00C" w14:textId="77777777" w:rsidR="00AE037D" w:rsidRPr="003218D0" w:rsidRDefault="00AE037D" w:rsidP="003218D0">
      <w:pPr>
        <w:pStyle w:val="Order2"/>
        <w:rPr>
          <w:lang w:val="en-US"/>
        </w:rPr>
      </w:pPr>
      <w:r w:rsidRPr="003218D0">
        <w:rPr>
          <w:lang w:val="en-US"/>
        </w:rPr>
        <w:t xml:space="preserve">The date upon which the permit applicant agreed to an amendment of the permit application proposed by the Responsible Authority pursuant to section 50A of the </w:t>
      </w:r>
      <w:r w:rsidRPr="003218D0">
        <w:rPr>
          <w:i/>
          <w:lang w:val="en-US"/>
        </w:rPr>
        <w:t>Planning and Environment Act 1987</w:t>
      </w:r>
      <w:r w:rsidRPr="003218D0">
        <w:rPr>
          <w:lang w:val="en-US"/>
        </w:rPr>
        <w:t xml:space="preserve">. (See section 50A(5)(b)) </w:t>
      </w:r>
    </w:p>
    <w:p w14:paraId="44E6AB54" w14:textId="77777777" w:rsidR="00AE037D" w:rsidRPr="003218D0" w:rsidRDefault="00AE037D" w:rsidP="003218D0">
      <w:pPr>
        <w:pStyle w:val="Order2"/>
        <w:rPr>
          <w:lang w:val="en-US"/>
        </w:rPr>
      </w:pPr>
      <w:r w:rsidRPr="003218D0">
        <w:rPr>
          <w:lang w:val="en-US"/>
        </w:rPr>
        <w:t xml:space="preserve">The date upon which more information is given to the Responsible Authority in accordance with a written request made within the prescribed time pursuant to section 52 of the </w:t>
      </w:r>
      <w:r w:rsidRPr="003218D0">
        <w:rPr>
          <w:i/>
          <w:lang w:val="en-US"/>
        </w:rPr>
        <w:t>Planning and Environment Act</w:t>
      </w:r>
      <w:r w:rsidRPr="003218D0">
        <w:rPr>
          <w:lang w:val="en-US"/>
        </w:rPr>
        <w:t xml:space="preserve"> </w:t>
      </w:r>
      <w:r w:rsidRPr="00743AC8">
        <w:rPr>
          <w:i/>
          <w:lang w:val="en-US"/>
        </w:rPr>
        <w:t>1987</w:t>
      </w:r>
      <w:r w:rsidRPr="003218D0">
        <w:rPr>
          <w:lang w:val="en-US"/>
        </w:rPr>
        <w:t xml:space="preserve">. Clauses 18 of the </w:t>
      </w:r>
      <w:r w:rsidRPr="003218D0">
        <w:rPr>
          <w:i/>
          <w:lang w:val="en-US"/>
        </w:rPr>
        <w:t>Planning and Environment Regulations</w:t>
      </w:r>
      <w:r w:rsidRPr="003218D0">
        <w:rPr>
          <w:lang w:val="en-US"/>
        </w:rPr>
        <w:t xml:space="preserve"> </w:t>
      </w:r>
      <w:r w:rsidRPr="00DD7923">
        <w:rPr>
          <w:i/>
          <w:lang w:val="en-US"/>
        </w:rPr>
        <w:t>2015</w:t>
      </w:r>
      <w:r w:rsidRPr="003218D0">
        <w:rPr>
          <w:lang w:val="en-US"/>
        </w:rPr>
        <w:t xml:space="preserve"> provides that the prescribed time in respect of a responsible authority’s request for more information is 28 days. </w:t>
      </w:r>
    </w:p>
    <w:p w14:paraId="60478FBA" w14:textId="77777777" w:rsidR="00AE037D" w:rsidRPr="00FE5282" w:rsidRDefault="00AE037D" w:rsidP="00FE5282">
      <w:pPr>
        <w:pStyle w:val="Note2"/>
      </w:pPr>
      <w:r w:rsidRPr="00FE5282">
        <w:rPr>
          <w:b/>
        </w:rPr>
        <w:t>Note</w:t>
      </w:r>
      <w:r w:rsidRPr="00FE5282">
        <w:t xml:space="preserve">: The Tribunal has decided that the date on which the Responsible Authority requires more information is the date upon which written notice of the requirement is dispatched to the permit applicant (See </w:t>
      </w:r>
      <w:proofErr w:type="spellStart"/>
      <w:r w:rsidRPr="00DD7923">
        <w:rPr>
          <w:i/>
        </w:rPr>
        <w:t>Wilbow</w:t>
      </w:r>
      <w:proofErr w:type="spellEnd"/>
      <w:r w:rsidRPr="00DD7923">
        <w:rPr>
          <w:i/>
        </w:rPr>
        <w:t xml:space="preserve"> Corporation Pty Ltd v Boroondara CC</w:t>
      </w:r>
      <w:r w:rsidRPr="00FE5282">
        <w:t xml:space="preserve"> [2006] VCAT 437) </w:t>
      </w:r>
    </w:p>
    <w:p w14:paraId="3461C716" w14:textId="77777777" w:rsidR="00AE037D" w:rsidRPr="00AE037D" w:rsidRDefault="00AE037D" w:rsidP="00FE5282">
      <w:pPr>
        <w:pStyle w:val="Heading4"/>
        <w:rPr>
          <w:lang w:val="en-US"/>
        </w:rPr>
      </w:pPr>
      <w:r w:rsidRPr="00AE037D">
        <w:rPr>
          <w:lang w:val="en-US"/>
        </w:rPr>
        <w:t xml:space="preserve">Step 3 – The giving of notice </w:t>
      </w:r>
    </w:p>
    <w:p w14:paraId="261F5BC7" w14:textId="1BD040CD" w:rsidR="00AE037D" w:rsidRPr="00AE037D" w:rsidRDefault="00AE037D" w:rsidP="00FE5282">
      <w:pPr>
        <w:pStyle w:val="Order1"/>
        <w:rPr>
          <w:lang w:val="en-US"/>
        </w:rPr>
      </w:pPr>
      <w:r w:rsidRPr="00AE037D">
        <w:rPr>
          <w:lang w:val="en-US"/>
        </w:rPr>
        <w:t xml:space="preserve">For the purposes of counting the days that elapsed giving </w:t>
      </w:r>
      <w:r w:rsidR="00743AC8" w:rsidRPr="00AE037D">
        <w:rPr>
          <w:lang w:val="en-US"/>
        </w:rPr>
        <w:t>notice: -</w:t>
      </w:r>
      <w:r w:rsidRPr="00AE037D">
        <w:rPr>
          <w:lang w:val="en-US"/>
        </w:rPr>
        <w:t xml:space="preserve"> </w:t>
      </w:r>
    </w:p>
    <w:p w14:paraId="1C10B165" w14:textId="77777777" w:rsidR="00AE037D" w:rsidRPr="003218D0" w:rsidRDefault="00AE037D" w:rsidP="003218D0">
      <w:pPr>
        <w:pStyle w:val="Order2"/>
        <w:numPr>
          <w:ilvl w:val="0"/>
          <w:numId w:val="42"/>
        </w:numPr>
        <w:rPr>
          <w:lang w:val="en-US"/>
        </w:rPr>
      </w:pPr>
      <w:r w:rsidRPr="003218D0">
        <w:rPr>
          <w:lang w:val="en-US"/>
        </w:rPr>
        <w:t xml:space="preserve">The date upon which a requirement to give notice of a permit application is made is the date upon which the written requirement is dispatched to the permit applicant by the Responsible Authority. </w:t>
      </w:r>
    </w:p>
    <w:p w14:paraId="477229D6" w14:textId="77777777" w:rsidR="00AE037D" w:rsidRPr="00AE037D" w:rsidRDefault="00AE037D" w:rsidP="003218D0">
      <w:pPr>
        <w:pStyle w:val="Order2"/>
        <w:rPr>
          <w:lang w:val="en-US"/>
        </w:rPr>
      </w:pPr>
      <w:r w:rsidRPr="00AE037D">
        <w:rPr>
          <w:lang w:val="en-US"/>
        </w:rPr>
        <w:t xml:space="preserve">The date upon which the last notice was given is usually the most recent of the following dates: </w:t>
      </w:r>
    </w:p>
    <w:p w14:paraId="01BBCEC9" w14:textId="77777777" w:rsidR="00AE037D" w:rsidRPr="00AE037D" w:rsidRDefault="00AE037D" w:rsidP="003218D0">
      <w:pPr>
        <w:pStyle w:val="Order2"/>
        <w:numPr>
          <w:ilvl w:val="1"/>
          <w:numId w:val="7"/>
        </w:numPr>
        <w:rPr>
          <w:lang w:val="en-US"/>
        </w:rPr>
      </w:pPr>
      <w:r w:rsidRPr="00AE037D">
        <w:rPr>
          <w:lang w:val="en-US"/>
        </w:rPr>
        <w:t xml:space="preserve">The date upon which the last notice was posted, or;  </w:t>
      </w:r>
    </w:p>
    <w:p w14:paraId="1CF8B8E8" w14:textId="77777777" w:rsidR="00AE037D" w:rsidRPr="00AE037D" w:rsidRDefault="00AE037D" w:rsidP="003218D0">
      <w:pPr>
        <w:pStyle w:val="Order2"/>
        <w:numPr>
          <w:ilvl w:val="1"/>
          <w:numId w:val="7"/>
        </w:numPr>
        <w:rPr>
          <w:lang w:val="en-US"/>
        </w:rPr>
      </w:pPr>
      <w:r w:rsidRPr="00AE037D">
        <w:rPr>
          <w:lang w:val="en-US"/>
        </w:rPr>
        <w:t xml:space="preserve">The date upon which the last notice was erected upon the land, or; </w:t>
      </w:r>
    </w:p>
    <w:p w14:paraId="0CDA657E" w14:textId="77777777" w:rsidR="00AE037D" w:rsidRPr="00AE037D" w:rsidRDefault="00AE037D" w:rsidP="003218D0">
      <w:pPr>
        <w:pStyle w:val="Order2"/>
        <w:numPr>
          <w:ilvl w:val="1"/>
          <w:numId w:val="7"/>
        </w:numPr>
        <w:rPr>
          <w:lang w:val="en-US"/>
        </w:rPr>
      </w:pPr>
      <w:r w:rsidRPr="00AE037D">
        <w:rPr>
          <w:lang w:val="en-US"/>
        </w:rPr>
        <w:t xml:space="preserve">The last date upon which a notice was published in a newspaper. </w:t>
      </w:r>
    </w:p>
    <w:p w14:paraId="317448A6" w14:textId="77777777" w:rsidR="00AE037D" w:rsidRPr="00AE037D" w:rsidRDefault="00AE037D" w:rsidP="007C1DE7">
      <w:pPr>
        <w:pStyle w:val="Order1"/>
        <w:rPr>
          <w:lang w:val="en-US"/>
        </w:rPr>
      </w:pPr>
    </w:p>
    <w:p w14:paraId="5513D2C8" w14:textId="0794A4AC" w:rsidR="00AE037D" w:rsidRPr="00AE037D" w:rsidRDefault="00AE037D" w:rsidP="007C1DE7">
      <w:pPr>
        <w:pStyle w:val="Order1"/>
        <w:rPr>
          <w:b/>
          <w:bCs/>
          <w:iCs/>
          <w:szCs w:val="24"/>
        </w:rPr>
      </w:pPr>
      <w:r w:rsidRPr="00AE037D">
        <w:br w:type="page"/>
      </w:r>
      <w:r w:rsidR="002E5CCF">
        <w:lastRenderedPageBreak/>
        <w:t xml:space="preserve">  </w:t>
      </w:r>
    </w:p>
    <w:p w14:paraId="748A319F" w14:textId="77777777" w:rsidR="00AE037D" w:rsidRPr="00AE037D" w:rsidRDefault="00AE037D" w:rsidP="00FE5282">
      <w:pPr>
        <w:pStyle w:val="Heading3"/>
      </w:pPr>
      <w:r w:rsidRPr="00AE037D">
        <w:t>The Four Steps Table</w:t>
      </w:r>
    </w:p>
    <w:p w14:paraId="749EA156" w14:textId="77777777" w:rsidR="00AE037D" w:rsidRPr="00AE037D" w:rsidRDefault="00AE037D" w:rsidP="00AE037D"/>
    <w:p w14:paraId="04A054C2" w14:textId="77777777" w:rsidR="00AE037D" w:rsidRPr="00AE037D" w:rsidRDefault="00AE037D" w:rsidP="00FE5282">
      <w:pPr>
        <w:pStyle w:val="Order1"/>
      </w:pPr>
      <w:r w:rsidRPr="00AE037D">
        <w:rPr>
          <w:b/>
        </w:rPr>
        <w:t>Important</w:t>
      </w:r>
      <w:r w:rsidRPr="00AE037D">
        <w:t>, understand the notes set out above before completing this form.</w:t>
      </w:r>
    </w:p>
    <w:tbl>
      <w:tblPr>
        <w:tblStyle w:val="TableGrid"/>
        <w:tblW w:w="5000" w:type="pct"/>
        <w:tblLook w:val="01E0" w:firstRow="1" w:lastRow="1" w:firstColumn="1" w:lastColumn="1" w:noHBand="0" w:noVBand="0"/>
      </w:tblPr>
      <w:tblGrid>
        <w:gridCol w:w="1128"/>
        <w:gridCol w:w="6257"/>
        <w:gridCol w:w="2244"/>
      </w:tblGrid>
      <w:tr w:rsidR="00AE037D" w:rsidRPr="00AE037D" w14:paraId="5E99FC68" w14:textId="77777777" w:rsidTr="007C1DE7">
        <w:tc>
          <w:tcPr>
            <w:tcW w:w="586" w:type="pct"/>
            <w:vMerge w:val="restart"/>
            <w:shd w:val="clear" w:color="auto" w:fill="FFCC99"/>
          </w:tcPr>
          <w:p w14:paraId="15E05B57" w14:textId="77777777" w:rsidR="00AE037D" w:rsidRPr="007C1DE7" w:rsidRDefault="00AE037D" w:rsidP="007C1DE7">
            <w:pPr>
              <w:pStyle w:val="TitlePagetext"/>
              <w:rPr>
                <w:b/>
              </w:rPr>
            </w:pPr>
            <w:r w:rsidRPr="007C1DE7">
              <w:rPr>
                <w:b/>
              </w:rPr>
              <w:t>Step 1</w:t>
            </w:r>
          </w:p>
        </w:tc>
        <w:tc>
          <w:tcPr>
            <w:tcW w:w="3249" w:type="pct"/>
            <w:shd w:val="clear" w:color="auto" w:fill="FFCC99"/>
          </w:tcPr>
          <w:p w14:paraId="5B1CC94F" w14:textId="77777777" w:rsidR="00AE037D" w:rsidRPr="00AE037D" w:rsidRDefault="00AE037D" w:rsidP="007C1DE7">
            <w:pPr>
              <w:pStyle w:val="TitlePagetext"/>
            </w:pPr>
            <w:r w:rsidRPr="00AE037D">
              <w:t>The date upon which the permit application was first received by the Responsible Authority.</w:t>
            </w:r>
          </w:p>
        </w:tc>
        <w:tc>
          <w:tcPr>
            <w:tcW w:w="1165" w:type="pct"/>
          </w:tcPr>
          <w:p w14:paraId="7A63B815" w14:textId="77777777" w:rsidR="00AE037D" w:rsidRPr="00AE037D" w:rsidRDefault="00AE037D" w:rsidP="007C1DE7">
            <w:pPr>
              <w:pStyle w:val="TitlePagetext"/>
            </w:pPr>
          </w:p>
        </w:tc>
      </w:tr>
      <w:tr w:rsidR="00AE037D" w:rsidRPr="00AE037D" w14:paraId="705D4094" w14:textId="77777777" w:rsidTr="007C1DE7">
        <w:tc>
          <w:tcPr>
            <w:tcW w:w="586" w:type="pct"/>
            <w:vMerge/>
            <w:shd w:val="clear" w:color="auto" w:fill="FFCC99"/>
          </w:tcPr>
          <w:p w14:paraId="54750882" w14:textId="77777777" w:rsidR="00AE037D" w:rsidRPr="00AE037D" w:rsidRDefault="00AE037D" w:rsidP="007C1DE7">
            <w:pPr>
              <w:pStyle w:val="TitlePagetext"/>
            </w:pPr>
          </w:p>
        </w:tc>
        <w:tc>
          <w:tcPr>
            <w:tcW w:w="3249" w:type="pct"/>
            <w:shd w:val="clear" w:color="auto" w:fill="FFCC99"/>
          </w:tcPr>
          <w:p w14:paraId="28D43E31" w14:textId="77777777" w:rsidR="00AE037D" w:rsidRPr="00AE037D" w:rsidRDefault="00AE037D" w:rsidP="007C1DE7">
            <w:pPr>
              <w:pStyle w:val="TitlePagetext"/>
            </w:pPr>
            <w:r w:rsidRPr="00AE037D">
              <w:t>The date upon which the permit applicant applied to amend the permit application.</w:t>
            </w:r>
          </w:p>
        </w:tc>
        <w:tc>
          <w:tcPr>
            <w:tcW w:w="1165" w:type="pct"/>
          </w:tcPr>
          <w:p w14:paraId="7162A4E8" w14:textId="77777777" w:rsidR="00AE037D" w:rsidRPr="00AE037D" w:rsidRDefault="00AE037D" w:rsidP="007C1DE7">
            <w:pPr>
              <w:pStyle w:val="TitlePagetext"/>
            </w:pPr>
          </w:p>
        </w:tc>
      </w:tr>
      <w:tr w:rsidR="00AE037D" w:rsidRPr="00AE037D" w14:paraId="047D7B1E" w14:textId="77777777" w:rsidTr="007C1DE7">
        <w:tc>
          <w:tcPr>
            <w:tcW w:w="586" w:type="pct"/>
            <w:vMerge/>
            <w:shd w:val="clear" w:color="auto" w:fill="FFCC99"/>
          </w:tcPr>
          <w:p w14:paraId="448367F9" w14:textId="77777777" w:rsidR="00AE037D" w:rsidRPr="00AE037D" w:rsidRDefault="00AE037D" w:rsidP="007C1DE7">
            <w:pPr>
              <w:pStyle w:val="TitlePagetext"/>
            </w:pPr>
          </w:p>
        </w:tc>
        <w:tc>
          <w:tcPr>
            <w:tcW w:w="3249" w:type="pct"/>
            <w:shd w:val="clear" w:color="auto" w:fill="FFCC99"/>
          </w:tcPr>
          <w:p w14:paraId="00389F31" w14:textId="77777777" w:rsidR="00AE037D" w:rsidRPr="00AE037D" w:rsidRDefault="00AE037D" w:rsidP="007C1DE7">
            <w:pPr>
              <w:pStyle w:val="TitlePagetext"/>
            </w:pPr>
            <w:r w:rsidRPr="00AE037D">
              <w:t xml:space="preserve">The date upon which the permit application agreed to an amendment of the permit application. </w:t>
            </w:r>
          </w:p>
        </w:tc>
        <w:tc>
          <w:tcPr>
            <w:tcW w:w="1165" w:type="pct"/>
          </w:tcPr>
          <w:p w14:paraId="173FC537" w14:textId="77777777" w:rsidR="00AE037D" w:rsidRPr="00AE037D" w:rsidRDefault="00AE037D" w:rsidP="007C1DE7">
            <w:pPr>
              <w:pStyle w:val="TitlePagetext"/>
            </w:pPr>
          </w:p>
        </w:tc>
      </w:tr>
      <w:tr w:rsidR="00AE037D" w:rsidRPr="00AE037D" w14:paraId="1A403BE8" w14:textId="77777777" w:rsidTr="007C1DE7">
        <w:tc>
          <w:tcPr>
            <w:tcW w:w="586" w:type="pct"/>
            <w:vMerge/>
            <w:shd w:val="clear" w:color="auto" w:fill="FFCC99"/>
          </w:tcPr>
          <w:p w14:paraId="5CE8EF37" w14:textId="77777777" w:rsidR="00AE037D" w:rsidRPr="00AE037D" w:rsidRDefault="00AE037D" w:rsidP="007C1DE7">
            <w:pPr>
              <w:pStyle w:val="TitlePagetext"/>
            </w:pPr>
          </w:p>
        </w:tc>
        <w:tc>
          <w:tcPr>
            <w:tcW w:w="3249" w:type="pct"/>
            <w:shd w:val="clear" w:color="auto" w:fill="FFCC99"/>
          </w:tcPr>
          <w:p w14:paraId="6F2E01A7" w14:textId="77777777" w:rsidR="00AE037D" w:rsidRPr="00AE037D" w:rsidRDefault="00AE037D" w:rsidP="007C1DE7">
            <w:pPr>
              <w:pStyle w:val="TitlePagetext"/>
            </w:pPr>
            <w:r w:rsidRPr="00AE037D">
              <w:t xml:space="preserve">The date, within the prescribed time, upon which further information required by Responsible Authority is given to the Responsible Authority. </w:t>
            </w:r>
          </w:p>
        </w:tc>
        <w:tc>
          <w:tcPr>
            <w:tcW w:w="1165" w:type="pct"/>
            <w:tcBorders>
              <w:bottom w:val="single" w:sz="12" w:space="0" w:color="auto"/>
            </w:tcBorders>
          </w:tcPr>
          <w:p w14:paraId="53024C91" w14:textId="77777777" w:rsidR="00AE037D" w:rsidRPr="00AE037D" w:rsidRDefault="00AE037D" w:rsidP="007C1DE7">
            <w:pPr>
              <w:pStyle w:val="TitlePagetext"/>
            </w:pPr>
          </w:p>
        </w:tc>
      </w:tr>
      <w:tr w:rsidR="00AE037D" w:rsidRPr="00AE037D" w14:paraId="0440E68E" w14:textId="77777777" w:rsidTr="007C1DE7">
        <w:tc>
          <w:tcPr>
            <w:tcW w:w="586" w:type="pct"/>
            <w:vMerge/>
            <w:shd w:val="clear" w:color="auto" w:fill="FFCC99"/>
          </w:tcPr>
          <w:p w14:paraId="2D46F5F8" w14:textId="77777777" w:rsidR="00AE037D" w:rsidRPr="00AE037D" w:rsidRDefault="00AE037D" w:rsidP="007C1DE7">
            <w:pPr>
              <w:pStyle w:val="TitlePagetext"/>
            </w:pPr>
          </w:p>
        </w:tc>
        <w:tc>
          <w:tcPr>
            <w:tcW w:w="3249" w:type="pct"/>
            <w:tcBorders>
              <w:right w:val="single" w:sz="12" w:space="0" w:color="auto"/>
            </w:tcBorders>
            <w:shd w:val="clear" w:color="auto" w:fill="FFCC99"/>
          </w:tcPr>
          <w:p w14:paraId="1656F7E6" w14:textId="77777777" w:rsidR="00AE037D" w:rsidRPr="007C1DE7" w:rsidRDefault="00AE037D" w:rsidP="007C1DE7">
            <w:pPr>
              <w:pStyle w:val="TitlePagetext"/>
              <w:rPr>
                <w:b/>
              </w:rPr>
            </w:pPr>
            <w:r w:rsidRPr="007C1DE7">
              <w:rPr>
                <w:b/>
              </w:rPr>
              <w:t>Start date, the most recent of above dates:</w:t>
            </w:r>
          </w:p>
        </w:tc>
        <w:tc>
          <w:tcPr>
            <w:tcW w:w="1165" w:type="pct"/>
            <w:tcBorders>
              <w:top w:val="single" w:sz="12" w:space="0" w:color="auto"/>
              <w:left w:val="single" w:sz="12" w:space="0" w:color="auto"/>
              <w:bottom w:val="single" w:sz="12" w:space="0" w:color="auto"/>
              <w:right w:val="single" w:sz="12" w:space="0" w:color="auto"/>
            </w:tcBorders>
          </w:tcPr>
          <w:p w14:paraId="2170ED00" w14:textId="77777777" w:rsidR="00AE037D" w:rsidRPr="00AE037D" w:rsidRDefault="00AE037D" w:rsidP="007C1DE7">
            <w:pPr>
              <w:pStyle w:val="TitlePagetext"/>
            </w:pPr>
          </w:p>
        </w:tc>
      </w:tr>
    </w:tbl>
    <w:p w14:paraId="48D988FD" w14:textId="77777777" w:rsidR="00AE037D" w:rsidRPr="00AE037D" w:rsidRDefault="00AE037D" w:rsidP="00FE5282">
      <w:pPr>
        <w:pStyle w:val="Order1"/>
      </w:pPr>
    </w:p>
    <w:tbl>
      <w:tblPr>
        <w:tblStyle w:val="TableGrid"/>
        <w:tblW w:w="5000" w:type="pct"/>
        <w:tblLook w:val="01E0" w:firstRow="1" w:lastRow="1" w:firstColumn="1" w:lastColumn="1" w:noHBand="0" w:noVBand="0"/>
      </w:tblPr>
      <w:tblGrid>
        <w:gridCol w:w="1130"/>
        <w:gridCol w:w="6255"/>
        <w:gridCol w:w="2244"/>
      </w:tblGrid>
      <w:tr w:rsidR="00AE037D" w:rsidRPr="00AE037D" w14:paraId="4371CD64" w14:textId="77777777" w:rsidTr="007C1DE7">
        <w:tc>
          <w:tcPr>
            <w:tcW w:w="587" w:type="pct"/>
            <w:vMerge w:val="restart"/>
            <w:shd w:val="clear" w:color="auto" w:fill="CCFFCC"/>
          </w:tcPr>
          <w:p w14:paraId="5C691C9D" w14:textId="77777777" w:rsidR="00AE037D" w:rsidRPr="00FE5282" w:rsidRDefault="00AE037D" w:rsidP="007C1DE7">
            <w:pPr>
              <w:pStyle w:val="TitlePagetext"/>
              <w:rPr>
                <w:b/>
              </w:rPr>
            </w:pPr>
            <w:r w:rsidRPr="00FE5282">
              <w:rPr>
                <w:b/>
              </w:rPr>
              <w:t>Step 2</w:t>
            </w:r>
          </w:p>
        </w:tc>
        <w:tc>
          <w:tcPr>
            <w:tcW w:w="3248" w:type="pct"/>
            <w:shd w:val="clear" w:color="auto" w:fill="CCFFCC"/>
          </w:tcPr>
          <w:p w14:paraId="477B908C" w14:textId="77777777" w:rsidR="00AE037D" w:rsidRPr="00AE037D" w:rsidRDefault="00AE037D" w:rsidP="007C1DE7">
            <w:pPr>
              <w:pStyle w:val="TitlePagetext"/>
            </w:pPr>
            <w:r w:rsidRPr="00AE037D">
              <w:t>Start date:</w:t>
            </w:r>
          </w:p>
        </w:tc>
        <w:tc>
          <w:tcPr>
            <w:tcW w:w="1165" w:type="pct"/>
          </w:tcPr>
          <w:p w14:paraId="6A6518B5" w14:textId="77777777" w:rsidR="00AE037D" w:rsidRPr="00AE037D" w:rsidRDefault="00AE037D" w:rsidP="007C1DE7">
            <w:pPr>
              <w:pStyle w:val="TitlePagetext"/>
            </w:pPr>
          </w:p>
        </w:tc>
      </w:tr>
      <w:tr w:rsidR="00AE037D" w:rsidRPr="00AE037D" w14:paraId="48B291B1" w14:textId="77777777" w:rsidTr="007C1DE7">
        <w:tc>
          <w:tcPr>
            <w:tcW w:w="587" w:type="pct"/>
            <w:vMerge/>
            <w:shd w:val="clear" w:color="auto" w:fill="CCFFCC"/>
          </w:tcPr>
          <w:p w14:paraId="7FE155E8" w14:textId="77777777" w:rsidR="00AE037D" w:rsidRPr="00AE037D" w:rsidRDefault="00AE037D" w:rsidP="007C1DE7">
            <w:pPr>
              <w:pStyle w:val="TitlePagetext"/>
            </w:pPr>
          </w:p>
        </w:tc>
        <w:tc>
          <w:tcPr>
            <w:tcW w:w="3248" w:type="pct"/>
            <w:shd w:val="clear" w:color="auto" w:fill="CCFFCC"/>
          </w:tcPr>
          <w:p w14:paraId="02A9AAA8" w14:textId="77777777" w:rsidR="00AE037D" w:rsidRPr="00AE037D" w:rsidRDefault="00AE037D" w:rsidP="007C1DE7">
            <w:pPr>
              <w:pStyle w:val="TitlePagetext"/>
            </w:pPr>
            <w:r w:rsidRPr="00AE037D">
              <w:t>Date VCAT application received:</w:t>
            </w:r>
          </w:p>
        </w:tc>
        <w:tc>
          <w:tcPr>
            <w:tcW w:w="1165" w:type="pct"/>
            <w:tcBorders>
              <w:bottom w:val="single" w:sz="12" w:space="0" w:color="auto"/>
            </w:tcBorders>
          </w:tcPr>
          <w:p w14:paraId="4204AECC" w14:textId="77777777" w:rsidR="00AE037D" w:rsidRPr="00AE037D" w:rsidRDefault="00AE037D" w:rsidP="007C1DE7">
            <w:pPr>
              <w:pStyle w:val="TitlePagetext"/>
            </w:pPr>
          </w:p>
        </w:tc>
      </w:tr>
      <w:tr w:rsidR="00AE037D" w:rsidRPr="00AE037D" w14:paraId="2F60EA43" w14:textId="77777777" w:rsidTr="007C1DE7">
        <w:tc>
          <w:tcPr>
            <w:tcW w:w="587" w:type="pct"/>
            <w:vMerge/>
            <w:shd w:val="clear" w:color="auto" w:fill="CCFFCC"/>
          </w:tcPr>
          <w:p w14:paraId="058C0C05" w14:textId="77777777" w:rsidR="00AE037D" w:rsidRPr="00AE037D" w:rsidRDefault="00AE037D" w:rsidP="007C1DE7">
            <w:pPr>
              <w:pStyle w:val="TitlePagetext"/>
            </w:pPr>
          </w:p>
        </w:tc>
        <w:tc>
          <w:tcPr>
            <w:tcW w:w="3248" w:type="pct"/>
            <w:tcBorders>
              <w:right w:val="single" w:sz="12" w:space="0" w:color="auto"/>
            </w:tcBorders>
            <w:shd w:val="clear" w:color="auto" w:fill="CCFFCC"/>
          </w:tcPr>
          <w:p w14:paraId="68B5D1B0" w14:textId="77777777" w:rsidR="00AE037D" w:rsidRPr="00FE5282" w:rsidRDefault="00AE037D" w:rsidP="007C1DE7">
            <w:pPr>
              <w:pStyle w:val="TitlePagetext"/>
              <w:rPr>
                <w:b/>
              </w:rPr>
            </w:pPr>
            <w:r w:rsidRPr="00FE5282">
              <w:rPr>
                <w:b/>
              </w:rPr>
              <w:t>Total days counted:</w:t>
            </w:r>
          </w:p>
        </w:tc>
        <w:tc>
          <w:tcPr>
            <w:tcW w:w="1165" w:type="pct"/>
            <w:tcBorders>
              <w:top w:val="single" w:sz="12" w:space="0" w:color="auto"/>
              <w:left w:val="single" w:sz="12" w:space="0" w:color="auto"/>
              <w:bottom w:val="single" w:sz="12" w:space="0" w:color="auto"/>
              <w:right w:val="single" w:sz="12" w:space="0" w:color="auto"/>
            </w:tcBorders>
          </w:tcPr>
          <w:p w14:paraId="223A3DC8" w14:textId="77777777" w:rsidR="00AE037D" w:rsidRPr="00AE037D" w:rsidRDefault="00AE037D" w:rsidP="007C1DE7">
            <w:pPr>
              <w:pStyle w:val="TitlePagetext"/>
            </w:pPr>
          </w:p>
        </w:tc>
      </w:tr>
    </w:tbl>
    <w:p w14:paraId="3407E68E" w14:textId="77777777" w:rsidR="00AE037D" w:rsidRPr="00AE037D" w:rsidRDefault="00AE037D" w:rsidP="007C1DE7">
      <w:pPr>
        <w:pStyle w:val="TitlePagetext"/>
      </w:pPr>
    </w:p>
    <w:tbl>
      <w:tblPr>
        <w:tblStyle w:val="TableGrid"/>
        <w:tblW w:w="5000" w:type="pct"/>
        <w:tblLook w:val="01E0" w:firstRow="1" w:lastRow="1" w:firstColumn="1" w:lastColumn="1" w:noHBand="0" w:noVBand="0"/>
      </w:tblPr>
      <w:tblGrid>
        <w:gridCol w:w="1128"/>
        <w:gridCol w:w="6259"/>
        <w:gridCol w:w="2242"/>
      </w:tblGrid>
      <w:tr w:rsidR="00AE037D" w:rsidRPr="00AE037D" w14:paraId="1647F11A" w14:textId="77777777" w:rsidTr="007C1DE7">
        <w:tc>
          <w:tcPr>
            <w:tcW w:w="586" w:type="pct"/>
            <w:vMerge w:val="restart"/>
            <w:shd w:val="clear" w:color="auto" w:fill="FFFF99"/>
          </w:tcPr>
          <w:p w14:paraId="2E24A3BD" w14:textId="77777777" w:rsidR="00AE037D" w:rsidRPr="00FE5282" w:rsidRDefault="00AE037D" w:rsidP="007C1DE7">
            <w:pPr>
              <w:pStyle w:val="TitlePagetext"/>
              <w:rPr>
                <w:b/>
              </w:rPr>
            </w:pPr>
            <w:r w:rsidRPr="00FE5282">
              <w:rPr>
                <w:b/>
              </w:rPr>
              <w:t>Step 3</w:t>
            </w:r>
          </w:p>
        </w:tc>
        <w:tc>
          <w:tcPr>
            <w:tcW w:w="3250" w:type="pct"/>
            <w:shd w:val="clear" w:color="auto" w:fill="FFFF99"/>
          </w:tcPr>
          <w:p w14:paraId="4EAA4E72" w14:textId="77777777" w:rsidR="00AE037D" w:rsidRPr="00AE037D" w:rsidRDefault="00AE037D" w:rsidP="007C1DE7">
            <w:pPr>
              <w:pStyle w:val="TitlePagetext"/>
            </w:pPr>
            <w:r w:rsidRPr="00AE037D">
              <w:t>Date notice requirement made:</w:t>
            </w:r>
          </w:p>
        </w:tc>
        <w:tc>
          <w:tcPr>
            <w:tcW w:w="1165" w:type="pct"/>
          </w:tcPr>
          <w:p w14:paraId="76903B82" w14:textId="77777777" w:rsidR="00AE037D" w:rsidRPr="00AE037D" w:rsidRDefault="00AE037D" w:rsidP="007C1DE7">
            <w:pPr>
              <w:pStyle w:val="TitlePagetext"/>
            </w:pPr>
          </w:p>
        </w:tc>
      </w:tr>
      <w:tr w:rsidR="00AE037D" w:rsidRPr="00AE037D" w14:paraId="6307D457" w14:textId="77777777" w:rsidTr="007C1DE7">
        <w:tc>
          <w:tcPr>
            <w:tcW w:w="586" w:type="pct"/>
            <w:vMerge/>
            <w:shd w:val="clear" w:color="auto" w:fill="FFFF99"/>
          </w:tcPr>
          <w:p w14:paraId="60F9241F" w14:textId="77777777" w:rsidR="00AE037D" w:rsidRPr="00AE037D" w:rsidRDefault="00AE037D" w:rsidP="007C1DE7">
            <w:pPr>
              <w:pStyle w:val="TitlePagetext"/>
            </w:pPr>
          </w:p>
        </w:tc>
        <w:tc>
          <w:tcPr>
            <w:tcW w:w="3250" w:type="pct"/>
            <w:shd w:val="clear" w:color="auto" w:fill="FFFF99"/>
          </w:tcPr>
          <w:p w14:paraId="50EBA382" w14:textId="77777777" w:rsidR="00AE037D" w:rsidRPr="00AE037D" w:rsidRDefault="00AE037D" w:rsidP="007C1DE7">
            <w:pPr>
              <w:pStyle w:val="TitlePagetext"/>
            </w:pPr>
            <w:r w:rsidRPr="00AE037D">
              <w:t>Date last notice given:</w:t>
            </w:r>
          </w:p>
        </w:tc>
        <w:tc>
          <w:tcPr>
            <w:tcW w:w="1165" w:type="pct"/>
            <w:tcBorders>
              <w:bottom w:val="single" w:sz="12" w:space="0" w:color="auto"/>
            </w:tcBorders>
          </w:tcPr>
          <w:p w14:paraId="7AECA1CB" w14:textId="77777777" w:rsidR="00AE037D" w:rsidRPr="00AE037D" w:rsidRDefault="00AE037D" w:rsidP="007C1DE7">
            <w:pPr>
              <w:pStyle w:val="TitlePagetext"/>
            </w:pPr>
          </w:p>
        </w:tc>
      </w:tr>
      <w:tr w:rsidR="00AE037D" w:rsidRPr="00AE037D" w14:paraId="699BE79C" w14:textId="77777777" w:rsidTr="007C1DE7">
        <w:tc>
          <w:tcPr>
            <w:tcW w:w="586" w:type="pct"/>
            <w:vMerge/>
            <w:shd w:val="clear" w:color="auto" w:fill="FFFF99"/>
          </w:tcPr>
          <w:p w14:paraId="3E6A0784" w14:textId="77777777" w:rsidR="00AE037D" w:rsidRPr="00AE037D" w:rsidRDefault="00AE037D" w:rsidP="007C1DE7">
            <w:pPr>
              <w:pStyle w:val="TitlePagetext"/>
            </w:pPr>
          </w:p>
        </w:tc>
        <w:tc>
          <w:tcPr>
            <w:tcW w:w="3250" w:type="pct"/>
            <w:tcBorders>
              <w:right w:val="single" w:sz="12" w:space="0" w:color="auto"/>
            </w:tcBorders>
            <w:shd w:val="clear" w:color="auto" w:fill="FFFF99"/>
          </w:tcPr>
          <w:p w14:paraId="04AF1ABD" w14:textId="77777777" w:rsidR="00AE037D" w:rsidRPr="00FE5282" w:rsidRDefault="00AE037D" w:rsidP="007C1DE7">
            <w:pPr>
              <w:pStyle w:val="TitlePagetext"/>
              <w:rPr>
                <w:b/>
              </w:rPr>
            </w:pPr>
            <w:r w:rsidRPr="00FE5282">
              <w:rPr>
                <w:b/>
              </w:rPr>
              <w:t>Notice days counted:</w:t>
            </w:r>
          </w:p>
        </w:tc>
        <w:tc>
          <w:tcPr>
            <w:tcW w:w="1165" w:type="pct"/>
            <w:tcBorders>
              <w:top w:val="single" w:sz="12" w:space="0" w:color="auto"/>
              <w:left w:val="single" w:sz="12" w:space="0" w:color="auto"/>
              <w:bottom w:val="single" w:sz="12" w:space="0" w:color="auto"/>
              <w:right w:val="single" w:sz="12" w:space="0" w:color="auto"/>
            </w:tcBorders>
          </w:tcPr>
          <w:p w14:paraId="4CA17896" w14:textId="77777777" w:rsidR="00AE037D" w:rsidRPr="00AE037D" w:rsidRDefault="00AE037D" w:rsidP="007C1DE7">
            <w:pPr>
              <w:pStyle w:val="TitlePagetext"/>
            </w:pPr>
          </w:p>
        </w:tc>
      </w:tr>
    </w:tbl>
    <w:p w14:paraId="1D1132B3" w14:textId="77777777" w:rsidR="00AE037D" w:rsidRPr="00AE037D" w:rsidRDefault="00AE037D" w:rsidP="00FE5282">
      <w:pPr>
        <w:pStyle w:val="Order1"/>
      </w:pPr>
    </w:p>
    <w:tbl>
      <w:tblPr>
        <w:tblStyle w:val="TableGrid"/>
        <w:tblW w:w="5000" w:type="pct"/>
        <w:tblLook w:val="01E0" w:firstRow="1" w:lastRow="1" w:firstColumn="1" w:lastColumn="1" w:noHBand="0" w:noVBand="0"/>
      </w:tblPr>
      <w:tblGrid>
        <w:gridCol w:w="1128"/>
        <w:gridCol w:w="6257"/>
        <w:gridCol w:w="2244"/>
      </w:tblGrid>
      <w:tr w:rsidR="00AE037D" w:rsidRPr="00AE037D" w14:paraId="09DFB498" w14:textId="77777777" w:rsidTr="007C1DE7">
        <w:tc>
          <w:tcPr>
            <w:tcW w:w="586" w:type="pct"/>
            <w:vMerge w:val="restart"/>
            <w:shd w:val="clear" w:color="auto" w:fill="99CCFF"/>
          </w:tcPr>
          <w:p w14:paraId="37D2CD80" w14:textId="77777777" w:rsidR="00AE037D" w:rsidRPr="00FE5282" w:rsidRDefault="00AE037D" w:rsidP="007C1DE7">
            <w:pPr>
              <w:pStyle w:val="TitlePagetext"/>
              <w:rPr>
                <w:b/>
              </w:rPr>
            </w:pPr>
            <w:r w:rsidRPr="00FE5282">
              <w:rPr>
                <w:b/>
              </w:rPr>
              <w:t>Step 4</w:t>
            </w:r>
          </w:p>
        </w:tc>
        <w:tc>
          <w:tcPr>
            <w:tcW w:w="3249" w:type="pct"/>
            <w:shd w:val="clear" w:color="auto" w:fill="99CCFF"/>
          </w:tcPr>
          <w:p w14:paraId="2D22847D" w14:textId="77777777" w:rsidR="00AE037D" w:rsidRPr="00AE037D" w:rsidRDefault="00AE037D" w:rsidP="007C1DE7">
            <w:pPr>
              <w:pStyle w:val="TitlePagetext"/>
            </w:pPr>
            <w:r w:rsidRPr="00AE037D">
              <w:t>Total days counted in Step 2:</w:t>
            </w:r>
          </w:p>
        </w:tc>
        <w:tc>
          <w:tcPr>
            <w:tcW w:w="1165" w:type="pct"/>
          </w:tcPr>
          <w:p w14:paraId="204172D9" w14:textId="77777777" w:rsidR="00AE037D" w:rsidRPr="00AE037D" w:rsidRDefault="00AE037D" w:rsidP="007C1DE7">
            <w:pPr>
              <w:pStyle w:val="TitlePagetext"/>
            </w:pPr>
          </w:p>
        </w:tc>
      </w:tr>
      <w:tr w:rsidR="00AE037D" w:rsidRPr="00AE037D" w14:paraId="54E2E03A" w14:textId="77777777" w:rsidTr="007C1DE7">
        <w:tc>
          <w:tcPr>
            <w:tcW w:w="586" w:type="pct"/>
            <w:vMerge/>
            <w:shd w:val="clear" w:color="auto" w:fill="99CCFF"/>
          </w:tcPr>
          <w:p w14:paraId="661FE2D0" w14:textId="77777777" w:rsidR="00AE037D" w:rsidRPr="00AE037D" w:rsidRDefault="00AE037D" w:rsidP="007C1DE7">
            <w:pPr>
              <w:pStyle w:val="TitlePagetext"/>
            </w:pPr>
          </w:p>
        </w:tc>
        <w:tc>
          <w:tcPr>
            <w:tcW w:w="3249" w:type="pct"/>
            <w:shd w:val="clear" w:color="auto" w:fill="99CCFF"/>
          </w:tcPr>
          <w:p w14:paraId="704D3D38" w14:textId="77777777" w:rsidR="00AE037D" w:rsidRPr="00AE037D" w:rsidRDefault="00AE037D" w:rsidP="007C1DE7">
            <w:pPr>
              <w:pStyle w:val="TitlePagetext"/>
            </w:pPr>
            <w:r w:rsidRPr="00AE037D">
              <w:t>Notice days counted in Step 3:</w:t>
            </w:r>
          </w:p>
        </w:tc>
        <w:tc>
          <w:tcPr>
            <w:tcW w:w="1165" w:type="pct"/>
            <w:tcBorders>
              <w:bottom w:val="single" w:sz="12" w:space="0" w:color="auto"/>
            </w:tcBorders>
          </w:tcPr>
          <w:p w14:paraId="5E32909E" w14:textId="77777777" w:rsidR="00AE037D" w:rsidRPr="00AE037D" w:rsidRDefault="00AE037D" w:rsidP="007C1DE7">
            <w:pPr>
              <w:pStyle w:val="TitlePagetext"/>
            </w:pPr>
          </w:p>
        </w:tc>
      </w:tr>
      <w:tr w:rsidR="00AE037D" w:rsidRPr="00AE037D" w14:paraId="0BA486C8" w14:textId="77777777" w:rsidTr="007C1DE7">
        <w:tc>
          <w:tcPr>
            <w:tcW w:w="586" w:type="pct"/>
            <w:vMerge/>
            <w:shd w:val="clear" w:color="auto" w:fill="99CCFF"/>
          </w:tcPr>
          <w:p w14:paraId="1EC10151" w14:textId="77777777" w:rsidR="00AE037D" w:rsidRPr="00AE037D" w:rsidRDefault="00AE037D" w:rsidP="007C1DE7">
            <w:pPr>
              <w:pStyle w:val="TitlePagetext"/>
            </w:pPr>
          </w:p>
        </w:tc>
        <w:tc>
          <w:tcPr>
            <w:tcW w:w="3249" w:type="pct"/>
            <w:tcBorders>
              <w:right w:val="single" w:sz="12" w:space="0" w:color="auto"/>
            </w:tcBorders>
            <w:shd w:val="clear" w:color="auto" w:fill="99CCFF"/>
          </w:tcPr>
          <w:p w14:paraId="6D5C37A5" w14:textId="77777777" w:rsidR="00AE037D" w:rsidRPr="00FE5282" w:rsidRDefault="00AE037D" w:rsidP="007C1DE7">
            <w:pPr>
              <w:pStyle w:val="TitlePagetext"/>
              <w:rPr>
                <w:b/>
              </w:rPr>
            </w:pPr>
            <w:r w:rsidRPr="00FE5282">
              <w:rPr>
                <w:b/>
              </w:rPr>
              <w:t>Total days minus Notice days</w:t>
            </w:r>
          </w:p>
        </w:tc>
        <w:tc>
          <w:tcPr>
            <w:tcW w:w="1165" w:type="pct"/>
            <w:tcBorders>
              <w:top w:val="single" w:sz="12" w:space="0" w:color="auto"/>
              <w:left w:val="single" w:sz="12" w:space="0" w:color="auto"/>
              <w:bottom w:val="single" w:sz="12" w:space="0" w:color="auto"/>
              <w:right w:val="single" w:sz="12" w:space="0" w:color="auto"/>
            </w:tcBorders>
          </w:tcPr>
          <w:p w14:paraId="05CFB021" w14:textId="77777777" w:rsidR="00AE037D" w:rsidRPr="00AE037D" w:rsidRDefault="00AE037D" w:rsidP="007C1DE7">
            <w:pPr>
              <w:pStyle w:val="TitlePagetext"/>
            </w:pPr>
          </w:p>
        </w:tc>
      </w:tr>
    </w:tbl>
    <w:p w14:paraId="41D36140" w14:textId="77777777" w:rsidR="007C1DE7" w:rsidRDefault="007C1DE7" w:rsidP="007C1DE7">
      <w:pPr>
        <w:pStyle w:val="Order1"/>
      </w:pPr>
    </w:p>
    <w:p w14:paraId="6546AFBC" w14:textId="77777777" w:rsidR="00AE037D" w:rsidRPr="007C1DE7" w:rsidRDefault="00AE037D" w:rsidP="007C1DE7">
      <w:pPr>
        <w:pStyle w:val="Order1"/>
        <w:jc w:val="center"/>
        <w:rPr>
          <w:b/>
        </w:rPr>
      </w:pPr>
      <w:r w:rsidRPr="007C1DE7">
        <w:rPr>
          <w:b/>
        </w:rPr>
        <w:t>If the total days minus the notice days is less than 60 days, the application is premature.</w:t>
      </w:r>
    </w:p>
    <w:p w14:paraId="63D0B72E" w14:textId="77777777" w:rsidR="00AE037D" w:rsidRPr="00AE037D" w:rsidRDefault="00AE037D" w:rsidP="007C1DE7">
      <w:pPr>
        <w:pStyle w:val="Order1"/>
        <w:rPr>
          <w:lang w:val="en-US"/>
        </w:rPr>
      </w:pPr>
    </w:p>
    <w:p w14:paraId="59105187" w14:textId="77777777" w:rsidR="00AE037D" w:rsidRPr="00AE037D" w:rsidRDefault="00AE037D" w:rsidP="00AE037D">
      <w:pPr>
        <w:rPr>
          <w:lang w:val="en-US"/>
        </w:rPr>
      </w:pPr>
      <w:r w:rsidRPr="00AE037D">
        <w:rPr>
          <w:lang w:val="en-US"/>
        </w:rPr>
        <w:br w:type="page"/>
      </w:r>
    </w:p>
    <w:p w14:paraId="62147E82" w14:textId="77777777" w:rsidR="00AE037D" w:rsidRPr="00AE037D" w:rsidRDefault="00AE037D" w:rsidP="00FE5282">
      <w:pPr>
        <w:pStyle w:val="Order1"/>
        <w:rPr>
          <w:lang w:val="en-US"/>
        </w:rPr>
      </w:pPr>
    </w:p>
    <w:p w14:paraId="47463298" w14:textId="77777777" w:rsidR="00AE037D" w:rsidRPr="00AE037D" w:rsidRDefault="00AE037D" w:rsidP="00FE5282">
      <w:pPr>
        <w:pStyle w:val="Order1"/>
        <w:rPr>
          <w:lang w:val="en-US"/>
        </w:rPr>
      </w:pPr>
      <w:r w:rsidRPr="00AE037D">
        <w:rPr>
          <w:lang w:val="en-US"/>
        </w:rPr>
        <w:t xml:space="preserve">TRIBUNAL DECISIONS ON TIME LIMITS AND THE EXTENSION OF TIME </w:t>
      </w:r>
    </w:p>
    <w:p w14:paraId="6B0FC43D" w14:textId="77777777" w:rsidR="00AE037D" w:rsidRPr="00AE037D" w:rsidRDefault="00AE037D" w:rsidP="00FE5282">
      <w:pPr>
        <w:pStyle w:val="Order1"/>
        <w:rPr>
          <w:lang w:val="en-US"/>
        </w:rPr>
      </w:pPr>
      <w:r w:rsidRPr="00AE037D">
        <w:rPr>
          <w:lang w:val="en-US"/>
        </w:rPr>
        <w:t>There are a number of decisions of the Tribunal (some referred to above) which may assist which may assist in the understanding of the issues and approaches to discretion relevant to time limits and the extension of time. These decisions are available on the Australasian Legal Information Institute's website (</w:t>
      </w:r>
      <w:proofErr w:type="spellStart"/>
      <w:r w:rsidRPr="00AE037D">
        <w:rPr>
          <w:lang w:val="en-US"/>
        </w:rPr>
        <w:t>AustLII</w:t>
      </w:r>
      <w:proofErr w:type="spellEnd"/>
      <w:r w:rsidRPr="00AE037D">
        <w:rPr>
          <w:lang w:val="en-US"/>
        </w:rPr>
        <w:t xml:space="preserve">) at http://www.austlii.edu.au/au/cases/vic/VCAT/.  </w:t>
      </w:r>
    </w:p>
    <w:p w14:paraId="56E83BE3" w14:textId="77777777" w:rsidR="00AE037D" w:rsidRPr="00AE037D" w:rsidRDefault="00AE037D" w:rsidP="00FE5282">
      <w:pPr>
        <w:pStyle w:val="Order1"/>
        <w:rPr>
          <w:lang w:val="en-US"/>
        </w:rPr>
      </w:pPr>
      <w:proofErr w:type="spellStart"/>
      <w:r w:rsidRPr="00AE037D">
        <w:rPr>
          <w:lang w:val="en-US"/>
        </w:rPr>
        <w:t>Wilbow</w:t>
      </w:r>
      <w:proofErr w:type="spellEnd"/>
      <w:r w:rsidRPr="00AE037D">
        <w:rPr>
          <w:lang w:val="en-US"/>
        </w:rPr>
        <w:t xml:space="preserve"> Corporation PL v Boroondara CC [2006] VCAT 437 </w:t>
      </w:r>
    </w:p>
    <w:p w14:paraId="264E6AAD" w14:textId="77777777" w:rsidR="00AE037D" w:rsidRPr="00AE037D" w:rsidRDefault="00AE037D" w:rsidP="00FE5282">
      <w:pPr>
        <w:pStyle w:val="Order1"/>
        <w:rPr>
          <w:lang w:val="en-US"/>
        </w:rPr>
      </w:pPr>
      <w:proofErr w:type="spellStart"/>
      <w:r w:rsidRPr="00AE037D">
        <w:rPr>
          <w:lang w:val="en-US"/>
        </w:rPr>
        <w:t>Vitesnik</w:t>
      </w:r>
      <w:proofErr w:type="spellEnd"/>
      <w:r w:rsidRPr="00AE037D">
        <w:rPr>
          <w:lang w:val="en-US"/>
        </w:rPr>
        <w:t xml:space="preserve"> v Macedon Ranges SC [2007] VCAT 598 -  </w:t>
      </w:r>
    </w:p>
    <w:p w14:paraId="295F4850" w14:textId="77777777" w:rsidR="00AE037D" w:rsidRPr="00AE037D" w:rsidRDefault="00AE037D" w:rsidP="00FE5282">
      <w:pPr>
        <w:pStyle w:val="Order1"/>
        <w:rPr>
          <w:lang w:val="en-US"/>
        </w:rPr>
      </w:pPr>
      <w:proofErr w:type="spellStart"/>
      <w:r w:rsidRPr="00AE037D">
        <w:rPr>
          <w:lang w:val="en-US"/>
        </w:rPr>
        <w:t>Katsanis</w:t>
      </w:r>
      <w:proofErr w:type="spellEnd"/>
      <w:r w:rsidRPr="00AE037D">
        <w:rPr>
          <w:lang w:val="en-US"/>
        </w:rPr>
        <w:t xml:space="preserve"> v Wyndham CC [2005] VCAT 824  </w:t>
      </w:r>
    </w:p>
    <w:p w14:paraId="4765FA41" w14:textId="77777777" w:rsidR="00AE037D" w:rsidRPr="00AE037D" w:rsidRDefault="00AE037D" w:rsidP="00FE5282">
      <w:pPr>
        <w:pStyle w:val="Order1"/>
        <w:rPr>
          <w:lang w:val="en-US"/>
        </w:rPr>
      </w:pPr>
      <w:r w:rsidRPr="00AE037D">
        <w:rPr>
          <w:i/>
          <w:lang w:val="en-US"/>
        </w:rPr>
        <w:t>ML Design v Boroondara CC</w:t>
      </w:r>
      <w:r w:rsidRPr="00AE037D">
        <w:rPr>
          <w:lang w:val="en-US"/>
        </w:rPr>
        <w:t xml:space="preserve"> [2005] VCAT 2088 (10 October 2005) </w:t>
      </w:r>
    </w:p>
    <w:p w14:paraId="2E3E7D9C" w14:textId="77777777" w:rsidR="00AE037D" w:rsidRPr="00AE037D" w:rsidRDefault="00AE037D" w:rsidP="00FE5282">
      <w:pPr>
        <w:pStyle w:val="Order1"/>
        <w:rPr>
          <w:lang w:val="en-US"/>
        </w:rPr>
      </w:pPr>
      <w:r w:rsidRPr="00AE037D">
        <w:rPr>
          <w:i/>
          <w:lang w:val="en-US"/>
        </w:rPr>
        <w:t>McKernan v Boroondara CC</w:t>
      </w:r>
      <w:r w:rsidRPr="00AE037D">
        <w:rPr>
          <w:lang w:val="en-US"/>
        </w:rPr>
        <w:t xml:space="preserve"> [2005] VCAT 2082 (3 October 2005) </w:t>
      </w:r>
    </w:p>
    <w:p w14:paraId="2E659606" w14:textId="77777777" w:rsidR="00AE037D" w:rsidRPr="00AE037D" w:rsidRDefault="00AE037D" w:rsidP="00FE5282">
      <w:pPr>
        <w:pStyle w:val="Order1"/>
        <w:rPr>
          <w:lang w:val="en-US"/>
        </w:rPr>
      </w:pPr>
      <w:proofErr w:type="spellStart"/>
      <w:r w:rsidRPr="00AE037D">
        <w:rPr>
          <w:lang w:val="en-US"/>
        </w:rPr>
        <w:t>Wilbow</w:t>
      </w:r>
      <w:proofErr w:type="spellEnd"/>
      <w:r w:rsidRPr="00AE037D">
        <w:rPr>
          <w:lang w:val="en-US"/>
        </w:rPr>
        <w:t xml:space="preserve"> Corporation PL v Boroondara CC [2006] VCAT 437 </w:t>
      </w:r>
    </w:p>
    <w:p w14:paraId="0A39418B" w14:textId="77777777" w:rsidR="00AE037D" w:rsidRPr="00AE037D" w:rsidRDefault="00AE037D" w:rsidP="00FE5282">
      <w:pPr>
        <w:pStyle w:val="Order1"/>
        <w:rPr>
          <w:lang w:val="en-US"/>
        </w:rPr>
      </w:pPr>
      <w:proofErr w:type="spellStart"/>
      <w:r w:rsidRPr="00AE037D">
        <w:rPr>
          <w:lang w:val="en-US"/>
        </w:rPr>
        <w:t>Archerduck</w:t>
      </w:r>
      <w:proofErr w:type="spellEnd"/>
      <w:r w:rsidRPr="00AE037D">
        <w:rPr>
          <w:lang w:val="en-US"/>
        </w:rPr>
        <w:t xml:space="preserve"> PL Ballarat CC [2007] VCAT 1696 </w:t>
      </w:r>
    </w:p>
    <w:p w14:paraId="51943169" w14:textId="77777777" w:rsidR="00AE037D" w:rsidRPr="00AE037D" w:rsidRDefault="00AE037D" w:rsidP="00FE5282">
      <w:pPr>
        <w:pStyle w:val="Order1"/>
        <w:rPr>
          <w:lang w:val="en-US"/>
        </w:rPr>
      </w:pPr>
      <w:r w:rsidRPr="00AE037D">
        <w:t>Australia Pacific Airports v Hume CC [1999] VCAT 47</w:t>
      </w:r>
    </w:p>
    <w:p w14:paraId="3D3860A9" w14:textId="77777777" w:rsidR="00AE037D" w:rsidRPr="0058554D" w:rsidRDefault="00AE037D" w:rsidP="0058554D">
      <w:pPr>
        <w:pStyle w:val="Order1"/>
      </w:pPr>
    </w:p>
    <w:sectPr w:rsidR="00AE037D" w:rsidRPr="0058554D" w:rsidSect="005E12B5">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285C4" w14:textId="77777777" w:rsidR="00F84ECF" w:rsidRDefault="00F84ECF">
      <w:r>
        <w:separator/>
      </w:r>
    </w:p>
  </w:endnote>
  <w:endnote w:type="continuationSeparator" w:id="0">
    <w:p w14:paraId="1486F4F1" w14:textId="77777777" w:rsidR="00F84ECF" w:rsidRDefault="00F8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7E434" w14:textId="77777777" w:rsidR="003546E7" w:rsidRDefault="00354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000" w:firstRow="0" w:lastRow="0" w:firstColumn="0" w:lastColumn="0" w:noHBand="0" w:noVBand="0"/>
    </w:tblPr>
    <w:tblGrid>
      <w:gridCol w:w="7488"/>
      <w:gridCol w:w="2151"/>
    </w:tblGrid>
    <w:tr w:rsidR="008136B8" w:rsidRPr="00E03B25" w14:paraId="51907CF9" w14:textId="77777777">
      <w:trPr>
        <w:cantSplit/>
      </w:trPr>
      <w:tc>
        <w:tcPr>
          <w:tcW w:w="3884" w:type="pct"/>
        </w:tcPr>
        <w:p w14:paraId="614282DF" w14:textId="38DC1B27" w:rsidR="008136B8" w:rsidRDefault="00DD7923" w:rsidP="009E6A65">
          <w:pPr>
            <w:pStyle w:val="Footer"/>
            <w:spacing w:beforeLines="60" w:before="144"/>
            <w:rPr>
              <w:rFonts w:cs="Arial"/>
              <w:sz w:val="18"/>
              <w:szCs w:val="18"/>
            </w:rPr>
          </w:pPr>
          <w:r>
            <w:rPr>
              <w:rFonts w:cs="Arial"/>
              <w:sz w:val="18"/>
              <w:szCs w:val="18"/>
            </w:rPr>
            <w:t>Time Limits</w:t>
          </w:r>
          <w:r w:rsidR="009E6A65" w:rsidRPr="009E6A65">
            <w:rPr>
              <w:rFonts w:cs="Arial"/>
              <w:sz w:val="18"/>
              <w:szCs w:val="18"/>
            </w:rPr>
            <w:t xml:space="preserve"> </w:t>
          </w:r>
          <w:r w:rsidR="009E6A65">
            <w:rPr>
              <w:rFonts w:cs="Arial"/>
              <w:sz w:val="18"/>
              <w:szCs w:val="18"/>
            </w:rPr>
            <w:t xml:space="preserve">Guideline </w:t>
          </w:r>
          <w:r w:rsidR="001D3A47">
            <w:rPr>
              <w:rFonts w:cs="Arial"/>
              <w:sz w:val="18"/>
              <w:szCs w:val="18"/>
            </w:rPr>
            <w:t>–</w:t>
          </w:r>
          <w:r w:rsidR="001D3A47" w:rsidRPr="001D3A47">
            <w:rPr>
              <w:rFonts w:cs="Arial"/>
              <w:sz w:val="18"/>
              <w:szCs w:val="18"/>
            </w:rPr>
            <w:t xml:space="preserve"> </w:t>
          </w:r>
          <w:r w:rsidR="001D3A47">
            <w:rPr>
              <w:rFonts w:cs="Arial"/>
              <w:sz w:val="18"/>
              <w:szCs w:val="18"/>
            </w:rPr>
            <w:t xml:space="preserve">Revised October </w:t>
          </w:r>
          <w:r w:rsidR="001D3A47" w:rsidRPr="001D3A47">
            <w:rPr>
              <w:rFonts w:cs="Arial"/>
              <w:sz w:val="18"/>
              <w:szCs w:val="18"/>
            </w:rPr>
            <w:t>2015</w:t>
          </w:r>
        </w:p>
      </w:tc>
      <w:tc>
        <w:tcPr>
          <w:tcW w:w="1116" w:type="pct"/>
        </w:tcPr>
        <w:p w14:paraId="4FA394CE" w14:textId="6C302A67" w:rsidR="008136B8" w:rsidRDefault="008136B8" w:rsidP="00B46A2C">
          <w:pPr>
            <w:pStyle w:val="Footer"/>
            <w:spacing w:beforeLines="60" w:before="144"/>
            <w:jc w:val="right"/>
            <w:rPr>
              <w:rFonts w:cs="Arial"/>
              <w:sz w:val="18"/>
              <w:szCs w:val="18"/>
            </w:rPr>
          </w:pPr>
          <w:r>
            <w:rPr>
              <w:rFonts w:cs="Arial"/>
              <w:sz w:val="18"/>
              <w:szCs w:val="18"/>
            </w:rPr>
            <w:t xml:space="preserve">Page </w:t>
          </w:r>
          <w:r w:rsidR="00DE46ED">
            <w:rPr>
              <w:rStyle w:val="PageNumber"/>
              <w:rFonts w:cs="Arial"/>
              <w:sz w:val="18"/>
              <w:szCs w:val="18"/>
            </w:rPr>
            <w:fldChar w:fldCharType="begin"/>
          </w:r>
          <w:r>
            <w:rPr>
              <w:rStyle w:val="PageNumber"/>
              <w:rFonts w:cs="Arial"/>
              <w:sz w:val="18"/>
              <w:szCs w:val="18"/>
            </w:rPr>
            <w:instrText xml:space="preserve"> PAGE </w:instrText>
          </w:r>
          <w:r w:rsidR="00DE46ED">
            <w:rPr>
              <w:rStyle w:val="PageNumber"/>
              <w:rFonts w:cs="Arial"/>
              <w:sz w:val="18"/>
              <w:szCs w:val="18"/>
            </w:rPr>
            <w:fldChar w:fldCharType="separate"/>
          </w:r>
          <w:r w:rsidR="003546E7">
            <w:rPr>
              <w:rStyle w:val="PageNumber"/>
              <w:rFonts w:cs="Arial"/>
              <w:noProof/>
              <w:sz w:val="18"/>
              <w:szCs w:val="18"/>
            </w:rPr>
            <w:t>6</w:t>
          </w:r>
          <w:r w:rsidR="00DE46ED">
            <w:rPr>
              <w:rStyle w:val="PageNumber"/>
              <w:rFonts w:cs="Arial"/>
              <w:sz w:val="18"/>
              <w:szCs w:val="18"/>
            </w:rPr>
            <w:fldChar w:fldCharType="end"/>
          </w:r>
          <w:r>
            <w:rPr>
              <w:rStyle w:val="PageNumber"/>
              <w:rFonts w:cs="Arial"/>
              <w:sz w:val="18"/>
              <w:szCs w:val="18"/>
            </w:rPr>
            <w:t xml:space="preserve"> of </w:t>
          </w:r>
          <w:r w:rsidR="00DE46ED">
            <w:rPr>
              <w:rStyle w:val="PageNumber"/>
              <w:rFonts w:cs="Arial"/>
              <w:sz w:val="18"/>
              <w:szCs w:val="18"/>
            </w:rPr>
            <w:fldChar w:fldCharType="begin"/>
          </w:r>
          <w:r>
            <w:rPr>
              <w:rStyle w:val="PageNumber"/>
              <w:rFonts w:cs="Arial"/>
              <w:sz w:val="18"/>
              <w:szCs w:val="18"/>
            </w:rPr>
            <w:instrText xml:space="preserve"> NUMPAGES </w:instrText>
          </w:r>
          <w:r w:rsidR="00DE46ED">
            <w:rPr>
              <w:rStyle w:val="PageNumber"/>
              <w:rFonts w:cs="Arial"/>
              <w:sz w:val="18"/>
              <w:szCs w:val="18"/>
            </w:rPr>
            <w:fldChar w:fldCharType="separate"/>
          </w:r>
          <w:r w:rsidR="003546E7">
            <w:rPr>
              <w:rStyle w:val="PageNumber"/>
              <w:rFonts w:cs="Arial"/>
              <w:noProof/>
              <w:sz w:val="18"/>
              <w:szCs w:val="18"/>
            </w:rPr>
            <w:t>6</w:t>
          </w:r>
          <w:r w:rsidR="00DE46ED">
            <w:rPr>
              <w:rStyle w:val="PageNumber"/>
              <w:rFonts w:cs="Arial"/>
              <w:sz w:val="18"/>
              <w:szCs w:val="18"/>
            </w:rPr>
            <w:fldChar w:fldCharType="end"/>
          </w:r>
        </w:p>
      </w:tc>
    </w:tr>
  </w:tbl>
  <w:p w14:paraId="2F174A01" w14:textId="77777777" w:rsidR="008136B8" w:rsidRDefault="008136B8">
    <w:pPr>
      <w:pStyle w:val="Footer"/>
      <w:rPr>
        <w:sz w:val="2"/>
      </w:rPr>
    </w:pPr>
  </w:p>
  <w:p w14:paraId="2B7ED145" w14:textId="77777777" w:rsidR="008136B8" w:rsidRDefault="008136B8">
    <w:pPr>
      <w:rPr>
        <w:sz w:val="2"/>
      </w:rPr>
    </w:pPr>
  </w:p>
  <w:p w14:paraId="3B2F13CA" w14:textId="77777777" w:rsidR="008136B8" w:rsidRDefault="008136B8">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1"/>
      <w:gridCol w:w="3848"/>
    </w:tblGrid>
    <w:tr w:rsidR="00797E4B" w:rsidRPr="004F44DB" w14:paraId="3D501F0D" w14:textId="77777777" w:rsidTr="00AE037D">
      <w:tc>
        <w:tcPr>
          <w:tcW w:w="3004" w:type="pct"/>
        </w:tcPr>
        <w:p w14:paraId="59027E4A" w14:textId="77777777" w:rsidR="00797E4B" w:rsidRPr="004F44DB" w:rsidRDefault="00797E4B" w:rsidP="005E12B5">
          <w:pPr>
            <w:pStyle w:val="Footer"/>
            <w:rPr>
              <w:sz w:val="16"/>
              <w:szCs w:val="16"/>
            </w:rPr>
          </w:pPr>
          <w:r w:rsidRPr="004F44DB">
            <w:rPr>
              <w:sz w:val="16"/>
              <w:szCs w:val="16"/>
            </w:rPr>
            <w:t xml:space="preserve">Victorian Civil and Administrative Tribunal (VCAT) </w:t>
          </w:r>
          <w:r w:rsidRPr="004F44DB">
            <w:rPr>
              <w:sz w:val="16"/>
              <w:szCs w:val="16"/>
            </w:rPr>
            <w:br/>
            <w:t xml:space="preserve">55 King </w:t>
          </w:r>
          <w:proofErr w:type="gramStart"/>
          <w:r w:rsidRPr="004F44DB">
            <w:rPr>
              <w:sz w:val="16"/>
              <w:szCs w:val="16"/>
            </w:rPr>
            <w:t>Street  Melbourne</w:t>
          </w:r>
          <w:proofErr w:type="gramEnd"/>
          <w:r w:rsidRPr="004F44DB">
            <w:rPr>
              <w:sz w:val="16"/>
              <w:szCs w:val="16"/>
            </w:rPr>
            <w:t xml:space="preserve">  VIC  3000</w:t>
          </w:r>
          <w:r w:rsidRPr="004F44DB">
            <w:rPr>
              <w:sz w:val="16"/>
              <w:szCs w:val="16"/>
            </w:rPr>
            <w:br/>
            <w:t xml:space="preserve">GPO Box 5408  Melbourne  VIC  3001 </w:t>
          </w:r>
          <w:r w:rsidRPr="004F44DB">
            <w:rPr>
              <w:sz w:val="16"/>
              <w:szCs w:val="16"/>
            </w:rPr>
            <w:br/>
          </w:r>
          <w:proofErr w:type="spellStart"/>
          <w:r w:rsidRPr="004F44DB">
            <w:rPr>
              <w:sz w:val="16"/>
              <w:szCs w:val="16"/>
            </w:rPr>
            <w:t>Ausdoc</w:t>
          </w:r>
          <w:proofErr w:type="spellEnd"/>
          <w:r w:rsidRPr="004F44DB">
            <w:rPr>
              <w:sz w:val="16"/>
              <w:szCs w:val="16"/>
            </w:rPr>
            <w:t xml:space="preserve">  DX 210576 Melbourne </w:t>
          </w:r>
        </w:p>
      </w:tc>
      <w:tc>
        <w:tcPr>
          <w:tcW w:w="1996" w:type="pct"/>
        </w:tcPr>
        <w:p w14:paraId="4FB3BC6A" w14:textId="77777777" w:rsidR="00797E4B" w:rsidRPr="004F44DB" w:rsidRDefault="009B656C" w:rsidP="005E12B5">
          <w:pPr>
            <w:pStyle w:val="Footer"/>
            <w:jc w:val="right"/>
            <w:rPr>
              <w:sz w:val="16"/>
              <w:szCs w:val="16"/>
            </w:rPr>
          </w:pPr>
          <w:r w:rsidRPr="004F44DB">
            <w:rPr>
              <w:sz w:val="16"/>
              <w:szCs w:val="16"/>
            </w:rPr>
            <w:br/>
          </w:r>
          <w:r w:rsidRPr="004F44DB">
            <w:rPr>
              <w:sz w:val="16"/>
              <w:szCs w:val="16"/>
            </w:rPr>
            <w:br/>
          </w:r>
          <w:r w:rsidR="00797E4B" w:rsidRPr="004F44DB">
            <w:rPr>
              <w:sz w:val="16"/>
              <w:szCs w:val="16"/>
            </w:rPr>
            <w:br/>
            <w:t>Website www.vcat.vic.gov.au</w:t>
          </w:r>
        </w:p>
      </w:tc>
    </w:tr>
  </w:tbl>
  <w:p w14:paraId="45C408D1" w14:textId="77777777" w:rsidR="00636D73" w:rsidRPr="007B261E" w:rsidRDefault="00636D73" w:rsidP="00797E4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4F378" w14:textId="77777777" w:rsidR="00F84ECF" w:rsidRDefault="00F84ECF">
      <w:pPr>
        <w:pStyle w:val="Footer"/>
        <w:pBdr>
          <w:top w:val="single" w:sz="4" w:space="1" w:color="auto"/>
        </w:pBdr>
        <w:rPr>
          <w:sz w:val="12"/>
        </w:rPr>
      </w:pPr>
    </w:p>
  </w:footnote>
  <w:footnote w:type="continuationSeparator" w:id="0">
    <w:p w14:paraId="07F8DC10" w14:textId="77777777" w:rsidR="00F84ECF" w:rsidRDefault="00F84ECF">
      <w:r>
        <w:continuationSeparator/>
      </w:r>
    </w:p>
  </w:footnote>
  <w:footnote w:id="1">
    <w:p w14:paraId="4FF1AC9A" w14:textId="1072126D" w:rsidR="00FF0588" w:rsidRDefault="00FF0588">
      <w:pPr>
        <w:pStyle w:val="FootnoteText"/>
      </w:pPr>
      <w:r>
        <w:rPr>
          <w:rStyle w:val="FootnoteReference"/>
        </w:rPr>
        <w:footnoteRef/>
      </w:r>
      <w:r>
        <w:t xml:space="preserve"> </w:t>
      </w:r>
      <w:r>
        <w:tab/>
      </w:r>
      <w:r w:rsidRPr="003218D0">
        <w:t>In VicSmart applications there is a separate “three steps” calculator which is available on the VCAT website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3BB46" w14:textId="77777777" w:rsidR="003546E7" w:rsidRDefault="00354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3AA64" w14:textId="77777777" w:rsidR="003546E7" w:rsidRDefault="00354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D78CA" w14:textId="77777777" w:rsidR="00141E07" w:rsidRDefault="00141E07" w:rsidP="00141E07">
    <w:pPr>
      <w:pStyle w:val="Header"/>
      <w:jc w:val="center"/>
    </w:pPr>
    <w:r>
      <w:rPr>
        <w:noProof/>
        <w:lang w:eastAsia="en-AU"/>
      </w:rPr>
      <w:drawing>
        <wp:inline distT="0" distB="0" distL="0" distR="0" wp14:anchorId="4A05D72A" wp14:editId="5D1C3C0D">
          <wp:extent cx="2340610" cy="448310"/>
          <wp:effectExtent l="0" t="0" r="2540" b="8890"/>
          <wp:docPr id="1" name="Picture 1" descr="VCAT_LOGO_T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AT_LOGO_T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448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4282"/>
    <w:multiLevelType w:val="multilevel"/>
    <w:tmpl w:val="81B0A810"/>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81283"/>
    <w:multiLevelType w:val="hybridMultilevel"/>
    <w:tmpl w:val="E05CEAF0"/>
    <w:lvl w:ilvl="0" w:tplc="6D527BE2">
      <w:start w:val="1"/>
      <w:numFmt w:val="decimal"/>
      <w:pStyle w:val="Para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893A7F"/>
    <w:multiLevelType w:val="hybridMultilevel"/>
    <w:tmpl w:val="A59A9106"/>
    <w:lvl w:ilvl="0" w:tplc="767AA104">
      <w:start w:val="1"/>
      <w:numFmt w:val="lowerLetter"/>
      <w:pStyle w:val="Para4"/>
      <w:lvlText w:val="%1"/>
      <w:lvlJc w:val="left"/>
      <w:pPr>
        <w:tabs>
          <w:tab w:val="num" w:pos="567"/>
        </w:tabs>
        <w:ind w:left="567" w:hanging="567"/>
      </w:pPr>
      <w:rPr>
        <w:rFonts w:hint="default"/>
      </w:rPr>
    </w:lvl>
    <w:lvl w:ilvl="1" w:tplc="EA08CFEC">
      <w:start w:val="1"/>
      <w:numFmt w:val="bullet"/>
      <w:lvlText w:val=""/>
      <w:lvlJc w:val="left"/>
      <w:pPr>
        <w:tabs>
          <w:tab w:val="num" w:pos="567"/>
        </w:tabs>
        <w:ind w:left="567" w:hanging="567"/>
      </w:pPr>
      <w:rPr>
        <w:rFonts w:ascii="Symbol" w:hAnsi="Symbol" w:hint="default"/>
      </w:r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E0188D08">
      <w:start w:val="1"/>
      <w:numFmt w:val="lowerLetter"/>
      <w:pStyle w:val="Para4"/>
      <w:lvlText w:val="%5."/>
      <w:lvlJc w:val="left"/>
      <w:pPr>
        <w:tabs>
          <w:tab w:val="num" w:pos="567"/>
        </w:tabs>
        <w:ind w:left="567" w:hanging="567"/>
      </w:pPr>
      <w:rPr>
        <w:rFonts w:hint="default"/>
      </w:r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3" w15:restartNumberingAfterBreak="0">
    <w:nsid w:val="132A618D"/>
    <w:multiLevelType w:val="hybridMultilevel"/>
    <w:tmpl w:val="9EC46206"/>
    <w:lvl w:ilvl="0" w:tplc="CE9239F4">
      <w:start w:val="1"/>
      <w:numFmt w:val="lowerRoman"/>
      <w:pStyle w:val="Para3"/>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C2085B"/>
    <w:multiLevelType w:val="hybridMultilevel"/>
    <w:tmpl w:val="6C66F850"/>
    <w:lvl w:ilvl="0" w:tplc="C6DA24C4">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2616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04F1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9ED9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2229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F046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4E7B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DC81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749F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633A84"/>
    <w:multiLevelType w:val="multilevel"/>
    <w:tmpl w:val="92D230AE"/>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E06E8C"/>
    <w:multiLevelType w:val="multilevel"/>
    <w:tmpl w:val="3A8A4D44"/>
    <w:lvl w:ilvl="0">
      <w:start w:val="1"/>
      <w:numFmt w:val="bullet"/>
      <w:lvlText w:val=""/>
      <w:lvlJc w:val="left"/>
      <w:pPr>
        <w:tabs>
          <w:tab w:val="num" w:pos="1134"/>
        </w:tabs>
        <w:ind w:left="1134" w:hanging="567"/>
      </w:pPr>
      <w:rPr>
        <w:rFonts w:ascii="Wingdings" w:hAnsi="Wingding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46D1F26"/>
    <w:multiLevelType w:val="multilevel"/>
    <w:tmpl w:val="C9369B1C"/>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9AF48E3"/>
    <w:multiLevelType w:val="hybridMultilevel"/>
    <w:tmpl w:val="D676F2EC"/>
    <w:lvl w:ilvl="0" w:tplc="D722B79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EAA32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A935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0664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AEF49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DAE9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24D6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6E52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847A9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E569C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E775409"/>
    <w:multiLevelType w:val="hybridMultilevel"/>
    <w:tmpl w:val="6EB4644E"/>
    <w:lvl w:ilvl="0" w:tplc="9D5AF62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2490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7E5F1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E6B4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8A73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C4F0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7C4C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9C46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A24D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387FB0"/>
    <w:multiLevelType w:val="hybridMultilevel"/>
    <w:tmpl w:val="B1B882DA"/>
    <w:lvl w:ilvl="0" w:tplc="BFEEB7B0">
      <w:start w:val="1"/>
      <w:numFmt w:val="lowerLetter"/>
      <w:pStyle w:val="Order3-abc"/>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1A301F8"/>
    <w:multiLevelType w:val="hybridMultilevel"/>
    <w:tmpl w:val="81B0A810"/>
    <w:lvl w:ilvl="0" w:tplc="B338F3B0">
      <w:start w:val="1"/>
      <w:numFmt w:val="bullet"/>
      <w:pStyle w:val="Para5"/>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37502FE4"/>
    <w:multiLevelType w:val="hybridMultilevel"/>
    <w:tmpl w:val="D87C9FE8"/>
    <w:lvl w:ilvl="0" w:tplc="F8403F3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8C7F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3ED4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42BF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F674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8E31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60A5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8227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B862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83176C7"/>
    <w:multiLevelType w:val="multilevel"/>
    <w:tmpl w:val="B2EE095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531"/>
        </w:tabs>
        <w:ind w:left="1531"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3474812"/>
    <w:multiLevelType w:val="multilevel"/>
    <w:tmpl w:val="8D2094BC"/>
    <w:lvl w:ilvl="0">
      <w:start w:val="1"/>
      <w:numFmt w:val="decimal"/>
      <w:pStyle w:val="Order2"/>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0A7D0D"/>
    <w:multiLevelType w:val="hybridMultilevel"/>
    <w:tmpl w:val="5B2AD9D0"/>
    <w:lvl w:ilvl="0" w:tplc="13DE798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71109E"/>
    <w:multiLevelType w:val="hybridMultilevel"/>
    <w:tmpl w:val="6DA84AB8"/>
    <w:lvl w:ilvl="0" w:tplc="F9E80308">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6204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E08B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5A15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AFB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F2D5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AEFF4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E6B1F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8877E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BF07D27"/>
    <w:multiLevelType w:val="multilevel"/>
    <w:tmpl w:val="C5D64A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4826DE"/>
    <w:multiLevelType w:val="multilevel"/>
    <w:tmpl w:val="0AC2157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531"/>
        </w:tabs>
        <w:ind w:left="1531" w:hanging="397"/>
      </w:pPr>
      <w:rPr>
        <w:rFonts w:hint="default"/>
      </w:rPr>
    </w:lvl>
    <w:lvl w:ilvl="3">
      <w:start w:val="1"/>
      <w:numFmt w:val="bullet"/>
      <w:lvlText w:val=""/>
      <w:lvlJc w:val="left"/>
      <w:pPr>
        <w:tabs>
          <w:tab w:val="num" w:pos="1928"/>
        </w:tabs>
        <w:ind w:left="1928" w:hanging="397"/>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FAA7B6C"/>
    <w:multiLevelType w:val="hybridMultilevel"/>
    <w:tmpl w:val="C720C940"/>
    <w:lvl w:ilvl="0" w:tplc="13DE798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550459"/>
    <w:multiLevelType w:val="multilevel"/>
    <w:tmpl w:val="598EF216"/>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F0C0F62"/>
    <w:multiLevelType w:val="hybridMultilevel"/>
    <w:tmpl w:val="B91285FE"/>
    <w:lvl w:ilvl="0" w:tplc="13DE798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8A777A"/>
    <w:multiLevelType w:val="multilevel"/>
    <w:tmpl w:val="4DF41220"/>
    <w:lvl w:ilvl="0">
      <w:start w:val="1"/>
      <w:numFmt w:val="lowerRoman"/>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5732FE2"/>
    <w:multiLevelType w:val="hybridMultilevel"/>
    <w:tmpl w:val="48C66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BE4218"/>
    <w:multiLevelType w:val="hybridMultilevel"/>
    <w:tmpl w:val="C526C360"/>
    <w:lvl w:ilvl="0" w:tplc="8C6EF4F4">
      <w:start w:val="1"/>
      <w:numFmt w:val="lowerLetter"/>
      <w:pStyle w:val="Orderabc"/>
      <w:lvlText w:val="%1."/>
      <w:lvlJc w:val="left"/>
      <w:pPr>
        <w:ind w:left="567" w:hanging="56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75B5F7E"/>
    <w:multiLevelType w:val="multilevel"/>
    <w:tmpl w:val="4008F1A2"/>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D7864F7"/>
    <w:multiLevelType w:val="hybridMultilevel"/>
    <w:tmpl w:val="4DD8D500"/>
    <w:lvl w:ilvl="0" w:tplc="98A212C8">
      <w:numFmt w:val="bullet"/>
      <w:pStyle w:val="Quote3"/>
      <w:lvlText w:val=""/>
      <w:lvlJc w:val="left"/>
      <w:pPr>
        <w:tabs>
          <w:tab w:val="num" w:pos="1701"/>
        </w:tabs>
        <w:ind w:left="1701" w:hanging="567"/>
      </w:pPr>
      <w:rPr>
        <w:rFonts w:ascii="Symbol" w:eastAsia="Times New Roman"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687042"/>
    <w:multiLevelType w:val="hybridMultilevel"/>
    <w:tmpl w:val="B78CEF68"/>
    <w:lvl w:ilvl="0" w:tplc="F0EE5D3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9A149A">
      <w:start w:val="1"/>
      <w:numFmt w:val="lowerLetter"/>
      <w:lvlText w:val="(%2)"/>
      <w:lvlJc w:val="left"/>
      <w:pPr>
        <w:ind w:left="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C2B162">
      <w:start w:val="1"/>
      <w:numFmt w:val="lowerRoman"/>
      <w:lvlText w:val="%3"/>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4A33A8">
      <w:start w:val="1"/>
      <w:numFmt w:val="decimal"/>
      <w:lvlText w:val="%4"/>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423EF0">
      <w:start w:val="1"/>
      <w:numFmt w:val="lowerLetter"/>
      <w:lvlText w:val="%5"/>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4C0A9C">
      <w:start w:val="1"/>
      <w:numFmt w:val="lowerRoman"/>
      <w:lvlText w:val="%6"/>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228F02">
      <w:start w:val="1"/>
      <w:numFmt w:val="decimal"/>
      <w:lvlText w:val="%7"/>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9C95F6">
      <w:start w:val="1"/>
      <w:numFmt w:val="lowerLetter"/>
      <w:lvlText w:val="%8"/>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BEAF1A">
      <w:start w:val="1"/>
      <w:numFmt w:val="lowerRoman"/>
      <w:lvlText w:val="%9"/>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9"/>
  </w:num>
  <w:num w:numId="3">
    <w:abstractNumId w:val="18"/>
  </w:num>
  <w:num w:numId="4">
    <w:abstractNumId w:val="5"/>
  </w:num>
  <w:num w:numId="5">
    <w:abstractNumId w:val="26"/>
  </w:num>
  <w:num w:numId="6">
    <w:abstractNumId w:val="15"/>
  </w:num>
  <w:num w:numId="7">
    <w:abstractNumId w:val="15"/>
  </w:num>
  <w:num w:numId="8">
    <w:abstractNumId w:val="7"/>
  </w:num>
  <w:num w:numId="9">
    <w:abstractNumId w:val="3"/>
  </w:num>
  <w:num w:numId="10">
    <w:abstractNumId w:val="21"/>
  </w:num>
  <w:num w:numId="11">
    <w:abstractNumId w:val="1"/>
  </w:num>
  <w:num w:numId="12">
    <w:abstractNumId w:val="23"/>
  </w:num>
  <w:num w:numId="13">
    <w:abstractNumId w:val="6"/>
  </w:num>
  <w:num w:numId="14">
    <w:abstractNumId w:val="14"/>
  </w:num>
  <w:num w:numId="15">
    <w:abstractNumId w:val="19"/>
  </w:num>
  <w:num w:numId="16">
    <w:abstractNumId w:val="12"/>
  </w:num>
  <w:num w:numId="17">
    <w:abstractNumId w:val="0"/>
  </w:num>
  <w:num w:numId="18">
    <w:abstractNumId w:val="27"/>
  </w:num>
  <w:num w:numId="19">
    <w:abstractNumId w:val="2"/>
    <w:lvlOverride w:ilvl="0">
      <w:startOverride w:val="1"/>
    </w:lvlOverride>
  </w:num>
  <w:num w:numId="20">
    <w:abstractNumId w:val="2"/>
    <w:lvlOverride w:ilvl="0">
      <w:startOverride w:val="1"/>
    </w:lvlOverride>
  </w:num>
  <w:num w:numId="21">
    <w:abstractNumId w:val="1"/>
    <w:lvlOverride w:ilvl="0">
      <w:startOverride w:val="1"/>
    </w:lvlOverride>
  </w:num>
  <w:num w:numId="22">
    <w:abstractNumId w:val="25"/>
  </w:num>
  <w:num w:numId="23">
    <w:abstractNumId w:val="25"/>
    <w:lvlOverride w:ilvl="0">
      <w:startOverride w:val="1"/>
    </w:lvlOverride>
  </w:num>
  <w:num w:numId="24">
    <w:abstractNumId w:val="25"/>
    <w:lvlOverride w:ilvl="0">
      <w:startOverride w:val="1"/>
    </w:lvlOverride>
  </w:num>
  <w:num w:numId="25">
    <w:abstractNumId w:val="25"/>
    <w:lvlOverride w:ilvl="0">
      <w:startOverride w:val="1"/>
    </w:lvlOverride>
  </w:num>
  <w:num w:numId="26">
    <w:abstractNumId w:val="10"/>
  </w:num>
  <w:num w:numId="27">
    <w:abstractNumId w:val="28"/>
  </w:num>
  <w:num w:numId="28">
    <w:abstractNumId w:val="4"/>
  </w:num>
  <w:num w:numId="29">
    <w:abstractNumId w:val="17"/>
  </w:num>
  <w:num w:numId="30">
    <w:abstractNumId w:val="8"/>
  </w:num>
  <w:num w:numId="31">
    <w:abstractNumId w:val="13"/>
  </w:num>
  <w:num w:numId="32">
    <w:abstractNumId w:val="24"/>
  </w:num>
  <w:num w:numId="33">
    <w:abstractNumId w:val="20"/>
  </w:num>
  <w:num w:numId="34">
    <w:abstractNumId w:val="16"/>
  </w:num>
  <w:num w:numId="35">
    <w:abstractNumId w:val="22"/>
  </w:num>
  <w:num w:numId="36">
    <w:abstractNumId w:val="11"/>
  </w:num>
  <w:num w:numId="37">
    <w:abstractNumId w:val="11"/>
    <w:lvlOverride w:ilvl="0">
      <w:startOverride w:val="1"/>
    </w:lvlOverride>
  </w:num>
  <w:num w:numId="38">
    <w:abstractNumId w:val="11"/>
    <w:lvlOverride w:ilvl="0">
      <w:startOverride w:val="1"/>
    </w:lvlOverride>
  </w:num>
  <w:num w:numId="39">
    <w:abstractNumId w:val="11"/>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76B2B31-C183-4DCB-A7AE-4CE9F9166472}"/>
    <w:docVar w:name="dgnword-eventsink" w:val="449801184"/>
  </w:docVars>
  <w:rsids>
    <w:rsidRoot w:val="00AE037D"/>
    <w:rsid w:val="00000074"/>
    <w:rsid w:val="000614CE"/>
    <w:rsid w:val="00077177"/>
    <w:rsid w:val="000A154F"/>
    <w:rsid w:val="000D3CEA"/>
    <w:rsid w:val="000D5A0E"/>
    <w:rsid w:val="00107260"/>
    <w:rsid w:val="001163AC"/>
    <w:rsid w:val="0011650F"/>
    <w:rsid w:val="001222E8"/>
    <w:rsid w:val="00141E07"/>
    <w:rsid w:val="00146EDE"/>
    <w:rsid w:val="001625BE"/>
    <w:rsid w:val="00174A0B"/>
    <w:rsid w:val="001B7872"/>
    <w:rsid w:val="001D26DD"/>
    <w:rsid w:val="001D3A47"/>
    <w:rsid w:val="001F38ED"/>
    <w:rsid w:val="002260F9"/>
    <w:rsid w:val="00231782"/>
    <w:rsid w:val="0023279E"/>
    <w:rsid w:val="00262B8C"/>
    <w:rsid w:val="00295238"/>
    <w:rsid w:val="002B2577"/>
    <w:rsid w:val="002E5CCF"/>
    <w:rsid w:val="00317940"/>
    <w:rsid w:val="003218D0"/>
    <w:rsid w:val="00323C99"/>
    <w:rsid w:val="003546E7"/>
    <w:rsid w:val="003636BE"/>
    <w:rsid w:val="00373744"/>
    <w:rsid w:val="003A69B6"/>
    <w:rsid w:val="003F7E97"/>
    <w:rsid w:val="0040719C"/>
    <w:rsid w:val="00433766"/>
    <w:rsid w:val="00490BFA"/>
    <w:rsid w:val="004A1EA2"/>
    <w:rsid w:val="004A309D"/>
    <w:rsid w:val="004D7EBC"/>
    <w:rsid w:val="004F44DB"/>
    <w:rsid w:val="0053398E"/>
    <w:rsid w:val="00552C8A"/>
    <w:rsid w:val="00570158"/>
    <w:rsid w:val="00572F84"/>
    <w:rsid w:val="005734FC"/>
    <w:rsid w:val="00577909"/>
    <w:rsid w:val="0058554D"/>
    <w:rsid w:val="00593732"/>
    <w:rsid w:val="005E12B5"/>
    <w:rsid w:val="005E448E"/>
    <w:rsid w:val="005F0679"/>
    <w:rsid w:val="00607C6A"/>
    <w:rsid w:val="00630576"/>
    <w:rsid w:val="00636D73"/>
    <w:rsid w:val="0065726B"/>
    <w:rsid w:val="0069223A"/>
    <w:rsid w:val="006B21E9"/>
    <w:rsid w:val="006B6575"/>
    <w:rsid w:val="006E7AD8"/>
    <w:rsid w:val="006F6775"/>
    <w:rsid w:val="00712742"/>
    <w:rsid w:val="007226A5"/>
    <w:rsid w:val="00724A23"/>
    <w:rsid w:val="00743AC8"/>
    <w:rsid w:val="00783905"/>
    <w:rsid w:val="00797E4B"/>
    <w:rsid w:val="007A1FC1"/>
    <w:rsid w:val="007B261E"/>
    <w:rsid w:val="007C1DE7"/>
    <w:rsid w:val="008049E1"/>
    <w:rsid w:val="00810527"/>
    <w:rsid w:val="008136B8"/>
    <w:rsid w:val="008756F1"/>
    <w:rsid w:val="008838FE"/>
    <w:rsid w:val="00897B1F"/>
    <w:rsid w:val="00924F6F"/>
    <w:rsid w:val="00930BE4"/>
    <w:rsid w:val="00990C7F"/>
    <w:rsid w:val="0099601E"/>
    <w:rsid w:val="009A15B4"/>
    <w:rsid w:val="009A58D1"/>
    <w:rsid w:val="009B17FE"/>
    <w:rsid w:val="009B656C"/>
    <w:rsid w:val="009C7E54"/>
    <w:rsid w:val="009D49E4"/>
    <w:rsid w:val="009E6A65"/>
    <w:rsid w:val="009F184B"/>
    <w:rsid w:val="009F2B73"/>
    <w:rsid w:val="00A02E9F"/>
    <w:rsid w:val="00A41004"/>
    <w:rsid w:val="00A43F0D"/>
    <w:rsid w:val="00A54289"/>
    <w:rsid w:val="00A84EF6"/>
    <w:rsid w:val="00AA365B"/>
    <w:rsid w:val="00AD58BC"/>
    <w:rsid w:val="00AE037D"/>
    <w:rsid w:val="00B46A2C"/>
    <w:rsid w:val="00B83F58"/>
    <w:rsid w:val="00B977AD"/>
    <w:rsid w:val="00BD7003"/>
    <w:rsid w:val="00BD7E01"/>
    <w:rsid w:val="00BE606E"/>
    <w:rsid w:val="00BF3760"/>
    <w:rsid w:val="00C0691D"/>
    <w:rsid w:val="00C37024"/>
    <w:rsid w:val="00C509EF"/>
    <w:rsid w:val="00C556D5"/>
    <w:rsid w:val="00C96CEB"/>
    <w:rsid w:val="00CB4742"/>
    <w:rsid w:val="00CF7C0E"/>
    <w:rsid w:val="00D344A7"/>
    <w:rsid w:val="00D80E12"/>
    <w:rsid w:val="00D90BA9"/>
    <w:rsid w:val="00DC6052"/>
    <w:rsid w:val="00DD7923"/>
    <w:rsid w:val="00DE46ED"/>
    <w:rsid w:val="00E03B25"/>
    <w:rsid w:val="00E5387D"/>
    <w:rsid w:val="00E903B7"/>
    <w:rsid w:val="00EF511B"/>
    <w:rsid w:val="00F72DBE"/>
    <w:rsid w:val="00F80B5E"/>
    <w:rsid w:val="00F84ECF"/>
    <w:rsid w:val="00FC2288"/>
    <w:rsid w:val="00FE2053"/>
    <w:rsid w:val="00FE5282"/>
    <w:rsid w:val="00FF05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21FF68"/>
  <w15:docId w15:val="{8FC8D1A5-D74F-48FC-B9FF-F9E1363D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289"/>
    <w:rPr>
      <w:rFonts w:ascii="Calibri" w:hAnsi="Calibri"/>
      <w:sz w:val="24"/>
      <w:lang w:eastAsia="en-US"/>
    </w:rPr>
  </w:style>
  <w:style w:type="paragraph" w:styleId="Heading1">
    <w:name w:val="heading 1"/>
    <w:basedOn w:val="Normal"/>
    <w:next w:val="Para1"/>
    <w:qFormat/>
    <w:rsid w:val="001163AC"/>
    <w:pPr>
      <w:keepNext/>
      <w:spacing w:before="240" w:after="120"/>
      <w:jc w:val="center"/>
      <w:outlineLvl w:val="0"/>
    </w:pPr>
    <w:rPr>
      <w:b/>
      <w:bCs/>
      <w:caps/>
      <w:sz w:val="26"/>
      <w:szCs w:val="24"/>
    </w:rPr>
  </w:style>
  <w:style w:type="paragraph" w:styleId="Heading2">
    <w:name w:val="heading 2"/>
    <w:basedOn w:val="Heading1"/>
    <w:next w:val="Para1"/>
    <w:qFormat/>
    <w:rsid w:val="00DE46ED"/>
    <w:pPr>
      <w:jc w:val="left"/>
      <w:outlineLvl w:val="1"/>
    </w:pPr>
    <w:rPr>
      <w:bCs w:val="0"/>
      <w:iCs/>
    </w:rPr>
  </w:style>
  <w:style w:type="paragraph" w:styleId="Heading3">
    <w:name w:val="heading 3"/>
    <w:basedOn w:val="Heading2"/>
    <w:next w:val="Para1"/>
    <w:qFormat/>
    <w:rsid w:val="00DE46ED"/>
    <w:pPr>
      <w:outlineLvl w:val="2"/>
    </w:pPr>
    <w:rPr>
      <w:bCs/>
      <w:caps w:val="0"/>
    </w:rPr>
  </w:style>
  <w:style w:type="paragraph" w:styleId="Heading4">
    <w:name w:val="heading 4"/>
    <w:basedOn w:val="Heading3"/>
    <w:next w:val="Normal"/>
    <w:qFormat/>
    <w:rsid w:val="00DE46ED"/>
    <w:pPr>
      <w:outlineLvl w:val="3"/>
    </w:pPr>
    <w:rPr>
      <w:b w:val="0"/>
      <w:bCs w:val="0"/>
      <w:szCs w:val="28"/>
      <w:u w:val="single"/>
    </w:rPr>
  </w:style>
  <w:style w:type="paragraph" w:styleId="Heading5">
    <w:name w:val="heading 5"/>
    <w:basedOn w:val="Heading4"/>
    <w:next w:val="Para1"/>
    <w:qFormat/>
    <w:rsid w:val="00DE46ED"/>
    <w:pPr>
      <w:spacing w:after="60"/>
      <w:outlineLvl w:val="4"/>
    </w:pPr>
    <w:rPr>
      <w:bCs/>
      <w:iCs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E12B5"/>
    <w:pPr>
      <w:tabs>
        <w:tab w:val="center" w:pos="4896"/>
        <w:tab w:val="right" w:pos="9792"/>
      </w:tabs>
      <w:spacing w:before="60"/>
    </w:pPr>
    <w:rPr>
      <w:rFonts w:ascii="Arial" w:hAnsi="Arial"/>
      <w:sz w:val="20"/>
    </w:rPr>
  </w:style>
  <w:style w:type="character" w:styleId="PageNumber">
    <w:name w:val="page number"/>
    <w:basedOn w:val="DefaultParagraphFont"/>
    <w:rsid w:val="00DE46ED"/>
  </w:style>
  <w:style w:type="paragraph" w:customStyle="1" w:styleId="Para1">
    <w:name w:val="Para 1"/>
    <w:basedOn w:val="Normal"/>
    <w:rsid w:val="00DE46ED"/>
    <w:pPr>
      <w:numPr>
        <w:numId w:val="11"/>
      </w:numPr>
      <w:spacing w:after="120" w:line="300" w:lineRule="atLeast"/>
    </w:pPr>
  </w:style>
  <w:style w:type="paragraph" w:customStyle="1" w:styleId="Para2">
    <w:name w:val="Para 2"/>
    <w:basedOn w:val="Para1"/>
    <w:rsid w:val="00DE46ED"/>
    <w:pPr>
      <w:numPr>
        <w:numId w:val="0"/>
      </w:numPr>
      <w:ind w:left="567"/>
    </w:pPr>
  </w:style>
  <w:style w:type="paragraph" w:customStyle="1" w:styleId="Catchwords">
    <w:name w:val="Catchwords"/>
    <w:basedOn w:val="Normal"/>
    <w:rsid w:val="00DE46ED"/>
    <w:pPr>
      <w:spacing w:before="100" w:after="100"/>
      <w:jc w:val="both"/>
    </w:pPr>
    <w:rPr>
      <w:sz w:val="20"/>
    </w:rPr>
  </w:style>
  <w:style w:type="paragraph" w:customStyle="1" w:styleId="Quote1">
    <w:name w:val="Quote 1"/>
    <w:basedOn w:val="Normal"/>
    <w:rsid w:val="00DE46ED"/>
    <w:pPr>
      <w:spacing w:after="120"/>
      <w:ind w:left="1134" w:right="567"/>
    </w:pPr>
    <w:rPr>
      <w:szCs w:val="24"/>
    </w:rPr>
  </w:style>
  <w:style w:type="paragraph" w:customStyle="1" w:styleId="Quote2">
    <w:name w:val="Quote 2"/>
    <w:basedOn w:val="Quote1"/>
    <w:rsid w:val="00DE46ED"/>
    <w:pPr>
      <w:ind w:left="1701" w:hanging="567"/>
    </w:pPr>
  </w:style>
  <w:style w:type="paragraph" w:customStyle="1" w:styleId="Para5">
    <w:name w:val="Para 5"/>
    <w:basedOn w:val="Para2"/>
    <w:rsid w:val="00DE46ED"/>
    <w:pPr>
      <w:numPr>
        <w:numId w:val="16"/>
      </w:numPr>
    </w:pPr>
  </w:style>
  <w:style w:type="paragraph" w:customStyle="1" w:styleId="Para4">
    <w:name w:val="Para 4"/>
    <w:basedOn w:val="Para2"/>
    <w:rsid w:val="00DE46ED"/>
    <w:pPr>
      <w:numPr>
        <w:numId w:val="1"/>
      </w:numPr>
    </w:pPr>
  </w:style>
  <w:style w:type="paragraph" w:customStyle="1" w:styleId="TitlePage1">
    <w:name w:val="Title Page 1"/>
    <w:basedOn w:val="Normal"/>
    <w:next w:val="Normal"/>
    <w:rsid w:val="00DE46ED"/>
    <w:pPr>
      <w:spacing w:after="240"/>
    </w:pPr>
    <w:rPr>
      <w:rFonts w:ascii="Arial" w:hAnsi="Arial"/>
      <w:b/>
      <w:caps/>
      <w:szCs w:val="24"/>
    </w:rPr>
  </w:style>
  <w:style w:type="paragraph" w:customStyle="1" w:styleId="TitlePage2">
    <w:name w:val="Title Page 2"/>
    <w:basedOn w:val="TitlePage1"/>
    <w:next w:val="Normal"/>
    <w:rsid w:val="00DE46ED"/>
    <w:pPr>
      <w:spacing w:before="120" w:after="80"/>
    </w:pPr>
  </w:style>
  <w:style w:type="paragraph" w:customStyle="1" w:styleId="TitlePagetext">
    <w:name w:val="Title Page text"/>
    <w:basedOn w:val="Normal"/>
    <w:rsid w:val="00DE46ED"/>
    <w:pPr>
      <w:spacing w:before="80" w:after="100"/>
    </w:pPr>
  </w:style>
  <w:style w:type="paragraph" w:styleId="Header">
    <w:name w:val="header"/>
    <w:basedOn w:val="Normal"/>
    <w:rsid w:val="00DE46ED"/>
    <w:pPr>
      <w:tabs>
        <w:tab w:val="center" w:pos="4320"/>
        <w:tab w:val="right" w:pos="8640"/>
      </w:tabs>
    </w:pPr>
  </w:style>
  <w:style w:type="paragraph" w:customStyle="1" w:styleId="NumberedOrder">
    <w:name w:val="Numbered Order"/>
    <w:basedOn w:val="Normal"/>
    <w:rsid w:val="00DE46ED"/>
    <w:pPr>
      <w:spacing w:after="120" w:line="300" w:lineRule="atLeast"/>
    </w:pPr>
  </w:style>
  <w:style w:type="paragraph" w:styleId="FootnoteText">
    <w:name w:val="footnote text"/>
    <w:basedOn w:val="Normal"/>
    <w:semiHidden/>
    <w:rsid w:val="00DE46ED"/>
    <w:pPr>
      <w:ind w:left="567" w:hanging="567"/>
    </w:pPr>
    <w:rPr>
      <w:sz w:val="20"/>
    </w:rPr>
  </w:style>
  <w:style w:type="character" w:styleId="FootnoteReference">
    <w:name w:val="footnote reference"/>
    <w:semiHidden/>
    <w:rsid w:val="00DE46ED"/>
    <w:rPr>
      <w:vertAlign w:val="superscript"/>
    </w:rPr>
  </w:style>
  <w:style w:type="paragraph" w:customStyle="1" w:styleId="Order1">
    <w:name w:val="Order 1"/>
    <w:basedOn w:val="Normal"/>
    <w:rsid w:val="00DE46ED"/>
    <w:pPr>
      <w:spacing w:after="120"/>
    </w:pPr>
  </w:style>
  <w:style w:type="paragraph" w:customStyle="1" w:styleId="Order2">
    <w:name w:val="Order 2"/>
    <w:basedOn w:val="Order1"/>
    <w:rsid w:val="00DE46ED"/>
    <w:pPr>
      <w:numPr>
        <w:numId w:val="7"/>
      </w:numPr>
      <w:spacing w:line="300" w:lineRule="atLeast"/>
    </w:pPr>
  </w:style>
  <w:style w:type="paragraph" w:customStyle="1" w:styleId="StyleTitlePagetextRight">
    <w:name w:val="Style Title Page text + Right"/>
    <w:basedOn w:val="TitlePagetext"/>
    <w:rsid w:val="00DE46ED"/>
    <w:pPr>
      <w:jc w:val="right"/>
    </w:pPr>
  </w:style>
  <w:style w:type="paragraph" w:customStyle="1" w:styleId="Para3">
    <w:name w:val="Para 3"/>
    <w:basedOn w:val="Para2"/>
    <w:rsid w:val="00DE46ED"/>
    <w:pPr>
      <w:numPr>
        <w:numId w:val="9"/>
      </w:numPr>
    </w:pPr>
  </w:style>
  <w:style w:type="paragraph" w:customStyle="1" w:styleId="Quote3">
    <w:name w:val="Quote 3"/>
    <w:basedOn w:val="Quote2"/>
    <w:rsid w:val="00DE46ED"/>
    <w:pPr>
      <w:numPr>
        <w:numId w:val="18"/>
      </w:numPr>
    </w:pPr>
  </w:style>
  <w:style w:type="paragraph" w:customStyle="1" w:styleId="TitlePage3">
    <w:name w:val="Title Page 3"/>
    <w:basedOn w:val="TitlePage2"/>
    <w:rsid w:val="00DE46ED"/>
    <w:pPr>
      <w:spacing w:before="20" w:after="0"/>
      <w:jc w:val="right"/>
    </w:pPr>
    <w:rPr>
      <w:b w:val="0"/>
      <w:sz w:val="16"/>
    </w:rPr>
  </w:style>
  <w:style w:type="table" w:styleId="TableGrid">
    <w:name w:val="Table Grid"/>
    <w:basedOn w:val="TableNormal"/>
    <w:rsid w:val="00797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Order1"/>
    <w:qFormat/>
    <w:rsid w:val="00141E07"/>
    <w:rPr>
      <w:sz w:val="20"/>
      <w:lang w:val="en-US"/>
    </w:rPr>
  </w:style>
  <w:style w:type="paragraph" w:customStyle="1" w:styleId="Orderabc">
    <w:name w:val="Order abc"/>
    <w:basedOn w:val="Order1"/>
    <w:rsid w:val="00BE606E"/>
    <w:pPr>
      <w:numPr>
        <w:numId w:val="22"/>
      </w:numPr>
    </w:pPr>
    <w:rPr>
      <w:lang w:val="en-US"/>
    </w:rPr>
  </w:style>
  <w:style w:type="paragraph" w:styleId="ListParagraph">
    <w:name w:val="List Paragraph"/>
    <w:basedOn w:val="Normal"/>
    <w:uiPriority w:val="34"/>
    <w:qFormat/>
    <w:rsid w:val="00317940"/>
    <w:pPr>
      <w:ind w:left="720"/>
      <w:contextualSpacing/>
    </w:pPr>
  </w:style>
  <w:style w:type="paragraph" w:customStyle="1" w:styleId="Note2">
    <w:name w:val="Note 2"/>
    <w:basedOn w:val="Para2"/>
    <w:qFormat/>
    <w:rsid w:val="00295238"/>
    <w:rPr>
      <w:sz w:val="20"/>
      <w:lang w:val="en-US"/>
    </w:rPr>
  </w:style>
  <w:style w:type="paragraph" w:styleId="BalloonText">
    <w:name w:val="Balloon Text"/>
    <w:basedOn w:val="Normal"/>
    <w:link w:val="BalloonTextChar"/>
    <w:uiPriority w:val="99"/>
    <w:semiHidden/>
    <w:unhideWhenUsed/>
    <w:rsid w:val="00C55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6D5"/>
    <w:rPr>
      <w:rFonts w:ascii="Segoe UI" w:hAnsi="Segoe UI" w:cs="Segoe UI"/>
      <w:sz w:val="18"/>
      <w:szCs w:val="18"/>
      <w:lang w:eastAsia="en-US"/>
    </w:rPr>
  </w:style>
  <w:style w:type="paragraph" w:customStyle="1" w:styleId="footnotedescription">
    <w:name w:val="footnote description"/>
    <w:next w:val="Normal"/>
    <w:link w:val="footnotedescriptionChar"/>
    <w:hidden/>
    <w:rsid w:val="00A02E9F"/>
    <w:pPr>
      <w:spacing w:after="6" w:line="259" w:lineRule="auto"/>
    </w:pPr>
    <w:rPr>
      <w:i/>
      <w:color w:val="000000"/>
      <w:szCs w:val="22"/>
    </w:rPr>
  </w:style>
  <w:style w:type="character" w:customStyle="1" w:styleId="footnotedescriptionChar">
    <w:name w:val="footnote description Char"/>
    <w:link w:val="footnotedescription"/>
    <w:rsid w:val="00A02E9F"/>
    <w:rPr>
      <w:i/>
      <w:color w:val="000000"/>
      <w:szCs w:val="22"/>
    </w:rPr>
  </w:style>
  <w:style w:type="character" w:customStyle="1" w:styleId="footnotemark">
    <w:name w:val="footnote mark"/>
    <w:hidden/>
    <w:rsid w:val="00A02E9F"/>
    <w:rPr>
      <w:rFonts w:ascii="Times New Roman" w:eastAsia="Times New Roman" w:hAnsi="Times New Roman" w:cs="Times New Roman"/>
      <w:color w:val="000000"/>
      <w:sz w:val="20"/>
      <w:vertAlign w:val="superscript"/>
    </w:rPr>
  </w:style>
  <w:style w:type="paragraph" w:styleId="NoSpacing">
    <w:name w:val="No Spacing"/>
    <w:uiPriority w:val="1"/>
    <w:qFormat/>
    <w:rsid w:val="00810527"/>
    <w:rPr>
      <w:rFonts w:ascii="Calibri" w:hAnsi="Calibri"/>
      <w:sz w:val="24"/>
      <w:lang w:eastAsia="en-US"/>
    </w:rPr>
  </w:style>
  <w:style w:type="paragraph" w:customStyle="1" w:styleId="Order3-abc">
    <w:name w:val="Order 3 - a b c"/>
    <w:basedOn w:val="Order1"/>
    <w:rsid w:val="0011650F"/>
    <w:pPr>
      <w:numPr>
        <w:numId w:val="36"/>
      </w:numPr>
      <w:tabs>
        <w:tab w:val="left" w:pos="567"/>
      </w:tabs>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A8AE4-9006-4355-B90D-A074C248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Liston</dc:creator>
  <cp:lastModifiedBy>Alvin Bautista</cp:lastModifiedBy>
  <cp:revision>2</cp:revision>
  <cp:lastPrinted>2015-10-01T02:04:00Z</cp:lastPrinted>
  <dcterms:created xsi:type="dcterms:W3CDTF">2020-07-17T06:55:00Z</dcterms:created>
  <dcterms:modified xsi:type="dcterms:W3CDTF">2020-07-17T06:55:00Z</dcterms:modified>
</cp:coreProperties>
</file>